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500" w:before="0" w:line="300"/>
        <w:jc w:val="start"/>
      </w:pPr>
      <w:r>
        <w:rPr>
          <w:rFonts w:ascii="Arial" w:cs="Arial" w:eastAsia="Arial" w:hAnsi="Arial"/>
          <w:color w:val="5A6470"/>
          <w:sz w:val="20"/>
          <w:szCs w:val="20"/>
          <w:rtl/>
        </w:rPr>
        <w:t xml:space="preserve">مشروع ميادين بارك · المدينة المنورة</w:t>
      </w:r>
    </w:p>
    <w:p>
      <w:pPr>
        <w:bidi/>
        <w:spacing w:after="60" w:before="0" w:line="300"/>
        <w:jc w:val="start"/>
      </w:pPr>
      <w:r>
        <w:rPr>
          <w:rFonts w:ascii="Arial" w:cs="Arial" w:eastAsia="Arial" w:hAnsi="Arial"/>
          <w:b/>
          <w:bCs/>
          <w:color w:val="8C7A5B"/>
          <w:sz w:val="26"/>
          <w:szCs w:val="26"/>
          <w:rtl/>
        </w:rPr>
        <w:t xml:space="preserve">خطة التنفيذ</w:t>
      </w:r>
    </w:p>
    <w:p>
      <w:pPr>
        <w:bidi/>
        <w:spacing w:after="4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52"/>
          <w:szCs w:val="52"/>
          <w:rtl/>
        </w:rPr>
        <w:t xml:space="preserve">من التوقيع إلى الافتتاح</w:t>
      </w:r>
    </w:p>
    <w:p>
      <w:pPr>
        <w:bidi/>
        <w:spacing w:after="300" w:before="0" w:line="300"/>
        <w:jc w:val="start"/>
      </w:pPr>
      <w:r>
        <w:rPr>
          <w:rFonts w:ascii="Arial" w:cs="Arial" w:eastAsia="Arial" w:hAnsi="Arial"/>
          <w:color w:val="3E6E9E"/>
          <w:sz w:val="28"/>
          <w:szCs w:val="28"/>
          <w:rtl/>
        </w:rPr>
        <w:t xml:space="preserve">المدينة المنورة – حديقة الملك فهد</w:t>
      </w:r>
    </w:p>
    <w:p>
      <w:pPr>
        <w:spacing w:after="300"/>
        <w:jc w:val="center"/>
      </w:pPr>
      <w:r>
        <w:drawing>
          <wp:inline distT="0" distB="0" distL="0" distR="0">
            <wp:extent cx="6096000" cy="381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95"/>
        <w:gridCol w:w="7343"/>
      </w:tblGrid>
      <w:tr>
        <w:trPr>
          <w:cantSplit/>
          <w:tblHeader/>
        </w:trPr>
        <w:tc>
          <w:tcPr>
            <w:tcW w:type="dxa" w:w="229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البند</w:t>
            </w:r>
          </w:p>
        </w:tc>
        <w:tc>
          <w:tcPr>
            <w:tcW w:type="dxa" w:w="734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القيمة</w:t>
            </w:r>
          </w:p>
        </w:tc>
      </w:tr>
      <w:tr>
        <w:trPr>
          <w:cantSplit/>
          <w:tblHeader w:val="false"/>
        </w:trPr>
        <w:tc>
          <w:tcPr>
            <w:tcW w:type="dxa" w:w="229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الافتتاح الكبير</w:t>
            </w:r>
          </w:p>
        </w:tc>
        <w:tc>
          <w:tcPr>
            <w:tcW w:type="dxa" w:w="734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الرابع 2028، قبل رمضان 1450هـ</w:t>
            </w:r>
          </w:p>
        </w:tc>
      </w:tr>
      <w:tr>
        <w:trPr>
          <w:cantSplit/>
          <w:tblHeader w:val="false"/>
        </w:trPr>
        <w:tc>
          <w:tcPr>
            <w:tcW w:type="dxa" w:w="229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افتتاح الفندق</w:t>
            </w:r>
          </w:p>
        </w:tc>
        <w:tc>
          <w:tcPr>
            <w:tcW w:type="dxa" w:w="734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منتصف 2029</w:t>
            </w:r>
          </w:p>
        </w:tc>
      </w:tr>
      <w:tr>
        <w:trPr>
          <w:cantSplit/>
          <w:tblHeader w:val="false"/>
        </w:trPr>
        <w:tc>
          <w:tcPr>
            <w:tcW w:type="dxa" w:w="229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المسار الحرج</w:t>
            </w:r>
          </w:p>
        </w:tc>
        <w:tc>
          <w:tcPr>
            <w:tcW w:type="dxa" w:w="734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الموافقات ← الهيكل ← الأنظمة ← المحتوى ← التسليم</w:t>
            </w:r>
          </w:p>
        </w:tc>
      </w:tr>
      <w:tr>
        <w:trPr>
          <w:cantSplit/>
          <w:tblHeader w:val="false"/>
        </w:trPr>
        <w:tc>
          <w:tcPr>
            <w:tcW w:type="dxa" w:w="229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القيد الأخطر</w:t>
            </w:r>
          </w:p>
        </w:tc>
        <w:tc>
          <w:tcPr>
            <w:tcW w:type="dxa" w:w="734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فترة السماح الممددة تنتهي 15 أبريل 2028</w:t>
            </w:r>
          </w:p>
        </w:tc>
      </w:tr>
    </w:tbl>
    <w:p>
      <w:pPr>
        <w:bidi/>
        <w:spacing w:after="200" w:before="0" w:line="300"/>
        <w:jc w:val="start"/>
      </w:pPr>
    </w:p>
    <w:p>
      <w:pPr>
        <w:bidi/>
        <w:spacing w:after="110" w:before="0" w:line="300"/>
        <w:jc w:val="center"/>
      </w:pPr>
      <w:r>
        <w:rPr>
          <w:rFonts w:ascii="Arial" w:cs="Arial" w:eastAsia="Arial" w:hAnsi="Arial"/>
          <w:color w:val="5A6470"/>
          <w:sz w:val="20"/>
          <w:szCs w:val="20"/>
          <w:rtl/>
        </w:rPr>
        <w:t xml:space="preserve">أكتوبر 2026  ·  سري</w:t>
      </w:r>
    </w:p>
    <w:p>
      <w:r>
        <w:br w:type="page"/>
      </w:r>
    </w:p>
    <w:p>
      <w:pPr>
        <w:sectPr>
          <w:pgSz w:w="11906" w:h="16838" w:orient="portrait"/>
          <w:pgMar w:top="900" w:right="1134" w:bottom="900" w:left="1134" w:header="708" w:footer="708" w:gutter="0"/>
          <w:pgNumType/>
          <w:docGrid w:linePitch="360"/>
        </w:sectPr>
      </w:pP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الفهرس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1.  </w:t>
      </w:r>
      <w:r>
        <w:rPr>
          <w:rFonts w:ascii="Arial" w:cs="Arial" w:eastAsia="Arial" w:hAnsi="Arial"/>
          <w:sz w:val="21"/>
          <w:szCs w:val="21"/>
          <w:rtl/>
        </w:rPr>
        <w:t xml:space="preserve">الملخص التنفيذي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2.  </w:t>
      </w:r>
      <w:r>
        <w:rPr>
          <w:rFonts w:ascii="Arial" w:cs="Arial" w:eastAsia="Arial" w:hAnsi="Arial"/>
          <w:sz w:val="21"/>
          <w:szCs w:val="21"/>
          <w:rtl/>
        </w:rPr>
        <w:t xml:space="preserve">النطاق والأهداف والقيود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3.  </w:t>
      </w:r>
      <w:r>
        <w:rPr>
          <w:rFonts w:ascii="Arial" w:cs="Arial" w:eastAsia="Arial" w:hAnsi="Arial"/>
          <w:sz w:val="21"/>
          <w:szCs w:val="21"/>
          <w:rtl/>
        </w:rPr>
        <w:t xml:space="preserve">هيكل التنفيذ والأدوار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4.  </w:t>
      </w:r>
      <w:r>
        <w:rPr>
          <w:rFonts w:ascii="Arial" w:cs="Arial" w:eastAsia="Arial" w:hAnsi="Arial"/>
          <w:sz w:val="21"/>
          <w:szCs w:val="21"/>
          <w:rtl/>
        </w:rPr>
        <w:t xml:space="preserve">هيكل تجزئة العمل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5.  </w:t>
      </w:r>
      <w:r>
        <w:rPr>
          <w:rFonts w:ascii="Arial" w:cs="Arial" w:eastAsia="Arial" w:hAnsi="Arial"/>
          <w:sz w:val="21"/>
          <w:szCs w:val="21"/>
          <w:rtl/>
        </w:rPr>
        <w:t xml:space="preserve">البرنامج الزمني والمسار الحرج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6.  </w:t>
      </w:r>
      <w:r>
        <w:rPr>
          <w:rFonts w:ascii="Arial" w:cs="Arial" w:eastAsia="Arial" w:hAnsi="Arial"/>
          <w:sz w:val="21"/>
          <w:szCs w:val="21"/>
          <w:rtl/>
        </w:rPr>
        <w:t xml:space="preserve">استراتيجية فترة السماح والمرحلية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7.  </w:t>
      </w:r>
      <w:r>
        <w:rPr>
          <w:rFonts w:ascii="Arial" w:cs="Arial" w:eastAsia="Arial" w:hAnsi="Arial"/>
          <w:sz w:val="21"/>
          <w:szCs w:val="21"/>
          <w:rtl/>
        </w:rPr>
        <w:t xml:space="preserve">خطة الشراء والتعاقد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8.  </w:t>
      </w:r>
      <w:r>
        <w:rPr>
          <w:rFonts w:ascii="Arial" w:cs="Arial" w:eastAsia="Arial" w:hAnsi="Arial"/>
          <w:sz w:val="21"/>
          <w:szCs w:val="21"/>
          <w:rtl/>
        </w:rPr>
        <w:t xml:space="preserve">إدارة التكلفة وأوامر التغيير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9.  </w:t>
      </w:r>
      <w:r>
        <w:rPr>
          <w:rFonts w:ascii="Arial" w:cs="Arial" w:eastAsia="Arial" w:hAnsi="Arial"/>
          <w:sz w:val="21"/>
          <w:szCs w:val="21"/>
          <w:rtl/>
        </w:rPr>
        <w:t xml:space="preserve">إدارة البرنامج الزمني والتأخير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10.  </w:t>
      </w:r>
      <w:r>
        <w:rPr>
          <w:rFonts w:ascii="Arial" w:cs="Arial" w:eastAsia="Arial" w:hAnsi="Arial"/>
          <w:sz w:val="21"/>
          <w:szCs w:val="21"/>
          <w:rtl/>
        </w:rPr>
        <w:t xml:space="preserve">إدارة الجودة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11.  </w:t>
      </w:r>
      <w:r>
        <w:rPr>
          <w:rFonts w:ascii="Arial" w:cs="Arial" w:eastAsia="Arial" w:hAnsi="Arial"/>
          <w:sz w:val="21"/>
          <w:szCs w:val="21"/>
          <w:rtl/>
        </w:rPr>
        <w:t xml:space="preserve">إدارة الواجهات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12.  </w:t>
      </w:r>
      <w:r>
        <w:rPr>
          <w:rFonts w:ascii="Arial" w:cs="Arial" w:eastAsia="Arial" w:hAnsi="Arial"/>
          <w:sz w:val="21"/>
          <w:szCs w:val="21"/>
          <w:rtl/>
        </w:rPr>
        <w:t xml:space="preserve">خارطة الموافقات والتصاريح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13.  </w:t>
      </w:r>
      <w:r>
        <w:rPr>
          <w:rFonts w:ascii="Arial" w:cs="Arial" w:eastAsia="Arial" w:hAnsi="Arial"/>
          <w:sz w:val="21"/>
          <w:szCs w:val="21"/>
          <w:rtl/>
        </w:rPr>
        <w:t xml:space="preserve">الاختبار والتشغيل التجريبي والتسليم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14.  </w:t>
      </w:r>
      <w:r>
        <w:rPr>
          <w:rFonts w:ascii="Arial" w:cs="Arial" w:eastAsia="Arial" w:hAnsi="Arial"/>
          <w:sz w:val="21"/>
          <w:szCs w:val="21"/>
          <w:rtl/>
        </w:rPr>
        <w:t xml:space="preserve">الصحة والسلامة والبيئة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15.  </w:t>
      </w:r>
      <w:r>
        <w:rPr>
          <w:rFonts w:ascii="Arial" w:cs="Arial" w:eastAsia="Arial" w:hAnsi="Arial"/>
          <w:sz w:val="21"/>
          <w:szCs w:val="21"/>
          <w:rtl/>
        </w:rPr>
        <w:t xml:space="preserve">الاجتماعات والتقارير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16.  </w:t>
      </w:r>
      <w:r>
        <w:rPr>
          <w:rFonts w:ascii="Arial" w:cs="Arial" w:eastAsia="Arial" w:hAnsi="Arial"/>
          <w:sz w:val="21"/>
          <w:szCs w:val="21"/>
          <w:rtl/>
        </w:rPr>
        <w:t xml:space="preserve">مخاطر التنفيذ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17.  </w:t>
      </w:r>
      <w:r>
        <w:rPr>
          <w:rFonts w:ascii="Arial" w:cs="Arial" w:eastAsia="Arial" w:hAnsi="Arial"/>
          <w:sz w:val="21"/>
          <w:szCs w:val="21"/>
          <w:rtl/>
        </w:rPr>
        <w:t xml:space="preserve">خطة الـ90 يوماً الأولى</w:t>
      </w: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1. الملخص التنفيذي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EF2F6" w:sz="4"/>
              <w:left w:val="single" w:color="3E6E9E" w:sz="36"/>
              <w:bottom w:val="single" w:color="EEF2F6" w:sz="4"/>
              <w:right w:val="single" w:color="EEF2F6" w:sz="4"/>
            </w:tcBorders>
            <w:shd w:fill="EEF2F6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  <w:rtl/>
              </w:rPr>
              <w:t xml:space="preserve">الهدف: افتتاح مركز التجربة والبوليفارد في الربع الرابع 2028 قبل رمضان 1450هـ، والفندق في منتصف 2029، ضمن 550 مليون ريال.</w:t>
            </w:r>
            <w:r>
              <w:rPr>
                <w:rFonts w:ascii="Arial" w:cs="Arial" w:eastAsia="Arial" w:hAnsi="Arial"/>
                <w:color w:val="1F3A5F"/>
                <w:sz w:val="22"/>
                <w:szCs w:val="22"/>
                <w:rtl/>
              </w:rPr>
              <w:t xml:space="preserve"> والتحدي الأكبر ليس الإنشاء، بل </w:t>
            </w: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  <w:rtl/>
              </w:rPr>
              <w:t xml:space="preserve">ثلاثة قيود متزامنة</w:t>
            </w:r>
            <w:r>
              <w:rPr>
                <w:rFonts w:ascii="Arial" w:cs="Arial" w:eastAsia="Arial" w:hAnsi="Arial"/>
                <w:color w:val="1F3A5F"/>
                <w:sz w:val="22"/>
                <w:szCs w:val="22"/>
                <w:rtl/>
              </w:rPr>
              <w:t xml:space="preserve">: فترة سماح ممددة شفهياً حتى أبريل 2028، وفندق غير مرخص بعد، وشراكة في خلاف موثق.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1.1 أهم مكونات الخطة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2"/>
        <w:gridCol w:w="8596"/>
      </w:tblGrid>
      <w:tr>
        <w:trPr>
          <w:cantSplit/>
          <w:tblHeader/>
        </w:trPr>
        <w:tc>
          <w:tcPr>
            <w:tcW w:type="dxa" w:w="104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المكوّن</w:t>
            </w:r>
          </w:p>
        </w:tc>
        <w:tc>
          <w:tcPr>
            <w:tcW w:type="dxa" w:w="859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الخلاصة</w:t>
            </w:r>
          </w:p>
        </w:tc>
      </w:tr>
      <w:tr>
        <w:trPr>
          <w:cantSplit/>
          <w:tblHeader w:val="false"/>
        </w:trPr>
        <w:tc>
          <w:tcPr>
            <w:tcW w:type="dxa" w:w="104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المدة</w:t>
            </w:r>
          </w:p>
        </w:tc>
        <w:tc>
          <w:tcPr>
            <w:tcW w:type="dxa" w:w="859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24 شهراً للإنشاء (أغسطس 2026 – يوليو 2028)، و27 شهراً حتى الافتتاح، و35 شهراً حتى افتتاح الفندق</w:t>
            </w:r>
          </w:p>
        </w:tc>
      </w:tr>
      <w:tr>
        <w:trPr>
          <w:cantSplit/>
          <w:tblHeader w:val="false"/>
        </w:trPr>
        <w:tc>
          <w:tcPr>
            <w:tcW w:type="dxa" w:w="104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المسار الحرج</w:t>
            </w:r>
          </w:p>
        </w:tc>
        <w:tc>
          <w:tcPr>
            <w:tcW w:type="dxa" w:w="859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الموافقات ← الهيكل الإنشائي للمركز والتجزئة ← الأنظمة ← محتوى المركز ← الاختبار والتسليم ← الافتتاح</w:t>
            </w:r>
          </w:p>
        </w:tc>
      </w:tr>
      <w:tr>
        <w:trPr>
          <w:cantSplit/>
          <w:tblHeader w:val="false"/>
        </w:trPr>
        <w:tc>
          <w:tcPr>
            <w:tcW w:type="dxa" w:w="104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المرحلية</w:t>
            </w:r>
          </w:p>
        </w:tc>
        <w:tc>
          <w:tcPr>
            <w:tcW w:type="dxa" w:w="859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المرحلة أ: المركز والبوليفارد (الربع الرابع 2028). المرحلة ب: الفندق (منتصف 2029)</w:t>
            </w:r>
          </w:p>
        </w:tc>
      </w:tr>
      <w:tr>
        <w:trPr>
          <w:cantSplit/>
          <w:tblHeader w:val="false"/>
        </w:trPr>
        <w:tc>
          <w:tcPr>
            <w:tcW w:type="dxa" w:w="104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التعاقد</w:t>
            </w:r>
          </w:p>
        </w:tc>
        <w:tc>
          <w:tcPr>
            <w:tcW w:type="dxa" w:w="859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عقد تنفيذ وتمويل رئيسي مع وطنكو بسعر أقصى مضمون، و9 حزم متخصصة</w:t>
            </w:r>
          </w:p>
        </w:tc>
      </w:tr>
      <w:tr>
        <w:trPr>
          <w:cantSplit/>
          <w:tblHeader w:val="false"/>
        </w:trPr>
        <w:tc>
          <w:tcPr>
            <w:tcW w:type="dxa" w:w="104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الرقابة</w:t>
            </w:r>
          </w:p>
        </w:tc>
        <w:tc>
          <w:tcPr>
            <w:tcW w:type="dxa" w:w="859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مكتب إدارة مشروع للمالك، واستشاري، ومكتب كميات مستقل يرفعون للجنة التطوير</w:t>
            </w:r>
          </w:p>
        </w:tc>
      </w:tr>
      <w:tr>
        <w:trPr>
          <w:cantSplit/>
          <w:tblHeader w:val="false"/>
        </w:trPr>
        <w:tc>
          <w:tcPr>
            <w:tcW w:type="dxa" w:w="104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نقاط القرار</w:t>
            </w:r>
          </w:p>
        </w:tc>
        <w:tc>
          <w:tcPr>
            <w:tcW w:type="dxa" w:w="859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6 نقاط قرار من ملحق المقر حتى الاستقرار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1.2 القيود الثلاثة الحاكمة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86"/>
        <w:gridCol w:w="2290"/>
        <w:gridCol w:w="4962"/>
      </w:tblGrid>
      <w:tr>
        <w:trPr>
          <w:cantSplit/>
          <w:tblHeader/>
        </w:trPr>
        <w:tc>
          <w:tcPr>
            <w:tcW w:type="dxa" w:w="238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القيد</w:t>
            </w:r>
          </w:p>
        </w:tc>
        <w:tc>
          <w:tcPr>
            <w:tcW w:type="dxa" w:w="229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الموعد</w:t>
            </w:r>
          </w:p>
        </w:tc>
        <w:tc>
          <w:tcPr>
            <w:tcW w:type="dxa" w:w="496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الأثر</w:t>
            </w:r>
          </w:p>
        </w:tc>
      </w:tr>
      <w:tr>
        <w:trPr>
          <w:cantSplit/>
          <w:tblHeader w:val="false"/>
        </w:trPr>
        <w:tc>
          <w:tcPr>
            <w:tcW w:type="dxa" w:w="238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نهاية فترة السماح الممددة</w:t>
            </w:r>
          </w:p>
        </w:tc>
        <w:tc>
          <w:tcPr>
            <w:tcW w:type="dxa" w:w="229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15 أبريل 2028</w:t>
            </w:r>
          </w:p>
        </w:tc>
        <w:tc>
          <w:tcPr>
            <w:tcW w:type="dxa" w:w="496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الإنشاء يكتمل بعدها بـ3 أشهر، والافتتاح بـ6 أشهر</w:t>
            </w:r>
          </w:p>
        </w:tc>
      </w:tr>
      <w:tr>
        <w:trPr>
          <w:cantSplit/>
          <w:tblHeader w:val="false"/>
        </w:trPr>
        <w:tc>
          <w:tcPr>
            <w:tcW w:type="dxa" w:w="238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رمضان 1450هـ</w:t>
            </w:r>
          </w:p>
        </w:tc>
        <w:tc>
          <w:tcPr>
            <w:tcW w:type="dxa" w:w="229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منتصف يناير 2029 تقريباً</w:t>
            </w:r>
          </w:p>
        </w:tc>
        <w:tc>
          <w:tcPr>
            <w:tcW w:type="dxa" w:w="496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أول موسم ذروة؛ التأخير يضيّع سنة من بناء السمعة</w:t>
            </w:r>
          </w:p>
        </w:tc>
      </w:tr>
      <w:tr>
        <w:trPr>
          <w:cantSplit/>
          <w:tblHeader w:val="false"/>
        </w:trPr>
        <w:tc>
          <w:tcPr>
            <w:tcW w:type="dxa" w:w="238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السقف الاستثماري</w:t>
            </w:r>
          </w:p>
        </w:tc>
        <w:tc>
          <w:tcPr>
            <w:tcW w:type="dxa" w:w="229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550 مليون ريال</w:t>
            </w:r>
          </w:p>
        </w:tc>
        <w:tc>
          <w:tcPr>
            <w:tcW w:type="dxa" w:w="496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يشترط هندسة قيمية بـ51.4 مليون على الأقل (الدراسة 6)</w:t>
            </w:r>
          </w:p>
        </w:tc>
      </w:tr>
    </w:tbl>
    <w:p>
      <w:pPr>
        <w:bidi/>
        <w:spacing w:after="60" w:before="0" w:line="300"/>
        <w:jc w:val="start"/>
      </w:pP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2. النطاق والأهداف والقيود</w:t>
      </w: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2.1 النطاق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1"/>
        <w:gridCol w:w="4231"/>
        <w:gridCol w:w="3526"/>
      </w:tblGrid>
      <w:tr>
        <w:trPr>
          <w:cantSplit/>
          <w:tblHeader/>
        </w:trPr>
        <w:tc>
          <w:tcPr>
            <w:tcW w:type="dxa" w:w="188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المكوّن</w:t>
            </w:r>
          </w:p>
        </w:tc>
        <w:tc>
          <w:tcPr>
            <w:tcW w:type="dxa" w:w="423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المساحة</w:t>
            </w:r>
          </w:p>
        </w:tc>
        <w:tc>
          <w:tcPr>
            <w:tcW w:type="dxa" w:w="35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ملاحظات</w:t>
            </w:r>
          </w:p>
        </w:tc>
      </w:tr>
      <w:tr>
        <w:trPr>
          <w:cantSplit/>
          <w:tblHeader w:val="false"/>
        </w:trPr>
        <w:tc>
          <w:tcPr>
            <w:tcW w:type="dxa" w:w="188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مركز التجربة</w:t>
            </w:r>
          </w:p>
        </w:tc>
        <w:tc>
          <w:tcPr>
            <w:tcW w:type="dxa" w:w="423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18,050 م²</w:t>
            </w:r>
          </w:p>
        </w:tc>
        <w:tc>
          <w:tcPr>
            <w:tcW w:type="dxa" w:w="35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مبنى مرتفع الدور، ومسارح غامرة</w:t>
            </w:r>
          </w:p>
        </w:tc>
      </w:tr>
      <w:tr>
        <w:trPr>
          <w:cantSplit/>
          <w:tblHeader w:val="false"/>
        </w:trPr>
        <w:tc>
          <w:tcPr>
            <w:tcW w:type="dxa" w:w="188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التجزئة والمطاعم</w:t>
            </w:r>
          </w:p>
        </w:tc>
        <w:tc>
          <w:tcPr>
            <w:tcW w:type="dxa" w:w="423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50,000 م² مسطحات (48,467 م² تأجيرية)</w:t>
            </w:r>
          </w:p>
        </w:tc>
        <w:tc>
          <w:tcPr>
            <w:tcW w:type="dxa" w:w="35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تسليم هيكل فقط للمستأجرين</w:t>
            </w:r>
          </w:p>
        </w:tc>
      </w:tr>
      <w:tr>
        <w:trPr>
          <w:cantSplit/>
          <w:tblHeader w:val="false"/>
        </w:trPr>
        <w:tc>
          <w:tcPr>
            <w:tcW w:type="dxa" w:w="188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الفندق</w:t>
            </w:r>
          </w:p>
        </w:tc>
        <w:tc>
          <w:tcPr>
            <w:tcW w:type="dxa" w:w="423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40,000 م²، 600 غرفة، 8 أدوار وقبو</w:t>
            </w:r>
          </w:p>
        </w:tc>
        <w:tc>
          <w:tcPr>
            <w:tcW w:type="dxa" w:w="35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بعد ملحق المقر</w:t>
            </w:r>
          </w:p>
        </w:tc>
      </w:tr>
      <w:tr>
        <w:trPr>
          <w:cantSplit/>
          <w:tblHeader w:val="false"/>
        </w:trPr>
        <w:tc>
          <w:tcPr>
            <w:tcW w:type="dxa" w:w="188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تنسيق الموقع</w:t>
            </w:r>
          </w:p>
        </w:tc>
        <w:tc>
          <w:tcPr>
            <w:tcW w:type="dxa" w:w="423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195,492 م²</w:t>
            </w:r>
          </w:p>
        </w:tc>
        <w:tc>
          <w:tcPr>
            <w:tcW w:type="dxa" w:w="35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يشمل 6,000 م² مسطحات مائية</w:t>
            </w:r>
          </w:p>
        </w:tc>
      </w:tr>
      <w:tr>
        <w:trPr>
          <w:cantSplit/>
          <w:tblHeader w:val="false"/>
        </w:trPr>
        <w:tc>
          <w:tcPr>
            <w:tcW w:type="dxa" w:w="188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المواقف</w:t>
            </w:r>
          </w:p>
        </w:tc>
        <w:tc>
          <w:tcPr>
            <w:tcW w:type="dxa" w:w="423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1,432 + منطقة حافلات (الدراسة 7)</w:t>
            </w:r>
          </w:p>
        </w:tc>
        <w:tc>
          <w:tcPr>
            <w:tcW w:type="dxa" w:w="35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سطحية</w:t>
            </w:r>
          </w:p>
        </w:tc>
      </w:tr>
      <w:tr>
        <w:trPr>
          <w:cantSplit/>
          <w:tblHeader w:val="false"/>
        </w:trPr>
        <w:tc>
          <w:tcPr>
            <w:tcW w:type="dxa" w:w="188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مباني الخدمات</w:t>
            </w:r>
          </w:p>
        </w:tc>
        <w:tc>
          <w:tcPr>
            <w:tcW w:type="dxa" w:w="423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4 – 6 مبانٍ</w:t>
            </w:r>
          </w:p>
        </w:tc>
        <w:tc>
          <w:tcPr>
            <w:tcW w:type="dxa" w:w="35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حسب قرار التبريد المركزي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2.2 الأهداف القابلة للقياس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7"/>
        <w:gridCol w:w="8701"/>
      </w:tblGrid>
      <w:tr>
        <w:trPr>
          <w:cantSplit/>
          <w:tblHeader/>
        </w:trPr>
        <w:tc>
          <w:tcPr>
            <w:tcW w:type="dxa" w:w="93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الهدف</w:t>
            </w:r>
          </w:p>
        </w:tc>
        <w:tc>
          <w:tcPr>
            <w:tcW w:type="dxa" w:w="870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المستهدف</w:t>
            </w:r>
          </w:p>
        </w:tc>
      </w:tr>
      <w:tr>
        <w:trPr>
          <w:cantSplit/>
          <w:tblHeader w:val="false"/>
        </w:trPr>
        <w:tc>
          <w:tcPr>
            <w:tcW w:type="dxa" w:w="93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الوقت</w:t>
            </w:r>
          </w:p>
        </w:tc>
        <w:tc>
          <w:tcPr>
            <w:tcW w:type="dxa" w:w="870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افتتاح المرحلة أ قبل 15 نوفمبر 2028، والمرحلة ب قبل 30 يونيو 2029</w:t>
            </w:r>
          </w:p>
        </w:tc>
      </w:tr>
      <w:tr>
        <w:trPr>
          <w:cantSplit/>
          <w:tblHeader w:val="false"/>
        </w:trPr>
        <w:tc>
          <w:tcPr>
            <w:tcW w:type="dxa" w:w="93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التكلفة</w:t>
            </w:r>
          </w:p>
        </w:tc>
        <w:tc>
          <w:tcPr>
            <w:tcW w:type="dxa" w:w="870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550 مليون ريال شاملة كل البنود</w:t>
            </w:r>
          </w:p>
        </w:tc>
      </w:tr>
      <w:tr>
        <w:trPr>
          <w:cantSplit/>
          <w:tblHeader w:val="false"/>
        </w:trPr>
        <w:tc>
          <w:tcPr>
            <w:tcW w:type="dxa" w:w="93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الجودة</w:t>
            </w:r>
          </w:p>
        </w:tc>
        <w:tc>
          <w:tcPr>
            <w:tcW w:type="dxa" w:w="870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معايير IHG للفندق، ومعايير المشغل للمركز، وكود البناء السعودي</w:t>
            </w:r>
          </w:p>
        </w:tc>
      </w:tr>
      <w:tr>
        <w:trPr>
          <w:cantSplit/>
          <w:tblHeader w:val="false"/>
        </w:trPr>
        <w:tc>
          <w:tcPr>
            <w:tcW w:type="dxa" w:w="93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السلامة</w:t>
            </w:r>
          </w:p>
        </w:tc>
        <w:tc>
          <w:tcPr>
            <w:tcW w:type="dxa" w:w="870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صفر حوادث مميتة، ومعدل حوادث مضيعة للوقت تحت المعيار</w:t>
            </w:r>
          </w:p>
        </w:tc>
      </w:tr>
      <w:tr>
        <w:trPr>
          <w:cantSplit/>
          <w:tblHeader w:val="false"/>
        </w:trPr>
        <w:tc>
          <w:tcPr>
            <w:tcW w:type="dxa" w:w="93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التوطين</w:t>
            </w:r>
          </w:p>
        </w:tc>
        <w:tc>
          <w:tcPr>
            <w:tcW w:type="dxa" w:w="870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50% من وظائف التشغيل محلية</w:t>
            </w:r>
          </w:p>
        </w:tc>
      </w:tr>
    </w:tbl>
    <w:p>
      <w:pPr>
        <w:bidi/>
        <w:spacing w:after="60" w:before="0" w:line="300"/>
        <w:jc w:val="start"/>
      </w:pP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3. هيكل التنفيذ والأدوار</w:t>
      </w:r>
    </w:p>
    <w:p>
      <w:pPr>
        <w:keepNext/>
        <w:spacing w:after="40" w:before="80"/>
        <w:jc w:val="center"/>
      </w:pPr>
      <w:r>
        <w:drawing>
          <wp:inline distT="0" distB="0" distL="0" distR="0">
            <wp:extent cx="5524500" cy="2876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160" w:before="0" w:line="300"/>
        <w:jc w:val="center"/>
      </w:pPr>
      <w:r>
        <w:rPr>
          <w:rFonts w:ascii="Arial" w:cs="Arial" w:eastAsia="Arial" w:hAnsi="Arial"/>
          <w:i/>
          <w:iCs/>
          <w:color w:val="5A6470"/>
          <w:sz w:val="17"/>
          <w:szCs w:val="17"/>
          <w:rtl/>
        </w:rPr>
        <w:t xml:space="preserve">هيكل تنفيذ المشروع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45"/>
        <w:gridCol w:w="5365"/>
        <w:gridCol w:w="1728"/>
      </w:tblGrid>
      <w:tr>
        <w:trPr>
          <w:cantSplit/>
          <w:tblHeader/>
        </w:trPr>
        <w:tc>
          <w:tcPr>
            <w:tcW w:type="dxa" w:w="25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الجهة</w:t>
            </w:r>
          </w:p>
        </w:tc>
        <w:tc>
          <w:tcPr>
            <w:tcW w:type="dxa" w:w="53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الدور الرئيسي</w:t>
            </w:r>
          </w:p>
        </w:tc>
        <w:tc>
          <w:tcPr>
            <w:tcW w:type="dxa" w:w="172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ترفع إلى</w:t>
            </w:r>
          </w:p>
        </w:tc>
      </w:tr>
      <w:tr>
        <w:trPr>
          <w:cantSplit/>
          <w:tblHeader w:val="false"/>
        </w:trPr>
        <w:tc>
          <w:tcPr>
            <w:tcW w:type="dxa" w:w="25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شركة المشروع (لجنة التطوير)</w:t>
            </w:r>
          </w:p>
        </w:tc>
        <w:tc>
          <w:tcPr>
            <w:tcW w:type="dxa" w:w="53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اعتماد الميزانيات، وأوامر التغيير الكبرى، ونقاط القرار</w:t>
            </w:r>
          </w:p>
        </w:tc>
        <w:tc>
          <w:tcPr>
            <w:tcW w:type="dxa" w:w="172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مجلس المديرين</w:t>
            </w:r>
          </w:p>
        </w:tc>
      </w:tr>
      <w:tr>
        <w:trPr>
          <w:cantSplit/>
          <w:tblHeader w:val="false"/>
        </w:trPr>
        <w:tc>
          <w:tcPr>
            <w:tcW w:type="dxa" w:w="25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مدير المشروع من طرف المالك</w:t>
            </w:r>
          </w:p>
        </w:tc>
        <w:tc>
          <w:tcPr>
            <w:tcW w:type="dxa" w:w="53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التخطيط، والمتابعة، والتنسيق، والتقارير، وإدارة الواجهات</w:t>
            </w:r>
          </w:p>
        </w:tc>
        <w:tc>
          <w:tcPr>
            <w:tcW w:type="dxa" w:w="172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لجنة التطوير</w:t>
            </w:r>
          </w:p>
        </w:tc>
      </w:tr>
      <w:tr>
        <w:trPr>
          <w:cantSplit/>
          <w:tblHeader w:val="false"/>
        </w:trPr>
        <w:tc>
          <w:tcPr>
            <w:tcW w:type="dxa" w:w="25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الاستشاري المشرف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 (زهير فايز)</w:t>
            </w:r>
          </w:p>
        </w:tc>
        <w:tc>
          <w:tcPr>
            <w:tcW w:type="dxa" w:w="53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اعتماد المخططات والمواد، والإشراف، والمستخلصات</w:t>
            </w:r>
          </w:p>
        </w:tc>
        <w:tc>
          <w:tcPr>
            <w:tcW w:type="dxa" w:w="172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لجنة التطوير مباشرة</w:t>
            </w:r>
          </w:p>
        </w:tc>
      </w:tr>
      <w:tr>
        <w:trPr>
          <w:cantSplit/>
          <w:tblHeader w:val="false"/>
        </w:trPr>
        <w:tc>
          <w:tcPr>
            <w:tcW w:type="dxa" w:w="25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مكتب الكميات المستقل</w:t>
            </w:r>
          </w:p>
        </w:tc>
        <w:tc>
          <w:tcPr>
            <w:tcW w:type="dxa" w:w="53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الرقابة على التكلفة، وتقييم أوامر التغيير، والهندسة القيمية</w:t>
            </w:r>
          </w:p>
        </w:tc>
        <w:tc>
          <w:tcPr>
            <w:tcW w:type="dxa" w:w="172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لجنة التطوير مباشرة</w:t>
            </w:r>
          </w:p>
        </w:tc>
      </w:tr>
      <w:tr>
        <w:trPr>
          <w:cantSplit/>
          <w:tblHeader w:val="false"/>
        </w:trPr>
        <w:tc>
          <w:tcPr>
            <w:tcW w:type="dxa" w:w="25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وطنكو (المقاول)</w:t>
            </w:r>
          </w:p>
        </w:tc>
        <w:tc>
          <w:tcPr>
            <w:tcW w:type="dxa" w:w="53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التصميم التنفيذي التفصيلي والتنفيذ والتمويل وفق العقد</w:t>
            </w:r>
          </w:p>
        </w:tc>
        <w:tc>
          <w:tcPr>
            <w:tcW w:type="dxa" w:w="172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مدير المشروع</w:t>
            </w:r>
          </w:p>
        </w:tc>
      </w:tr>
      <w:tr>
        <w:trPr>
          <w:cantSplit/>
          <w:tblHeader w:val="false"/>
        </w:trPr>
        <w:tc>
          <w:tcPr>
            <w:tcW w:type="dxa" w:w="25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IHG</w:t>
            </w:r>
          </w:p>
        </w:tc>
        <w:tc>
          <w:tcPr>
            <w:tcW w:type="dxa" w:w="53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مراجعة التصاميم ومعايير العلامة، وما قبل الافتتاح</w:t>
            </w:r>
          </w:p>
        </w:tc>
        <w:tc>
          <w:tcPr>
            <w:tcW w:type="dxa" w:w="172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شركة المشروع</w:t>
            </w:r>
          </w:p>
        </w:tc>
      </w:tr>
      <w:tr>
        <w:trPr>
          <w:cantSplit/>
          <w:tblHeader w:val="false"/>
        </w:trPr>
        <w:tc>
          <w:tcPr>
            <w:tcW w:type="dxa" w:w="25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Midwam</w:t>
            </w:r>
          </w:p>
        </w:tc>
        <w:tc>
          <w:tcPr>
            <w:tcW w:type="dxa" w:w="53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المحتوى والأنظمة، وما قبل افتتاح المركز</w:t>
            </w:r>
          </w:p>
        </w:tc>
        <w:tc>
          <w:tcPr>
            <w:tcW w:type="dxa" w:w="172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شركة المشروع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3.1 مكتب إدارة المشروع للمالك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67"/>
        <w:gridCol w:w="1410"/>
        <w:gridCol w:w="3761"/>
      </w:tblGrid>
      <w:tr>
        <w:trPr>
          <w:cantSplit/>
          <w:tblHeader/>
        </w:trPr>
        <w:tc>
          <w:tcPr>
            <w:tcW w:type="dxa" w:w="44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الوظيفة</w:t>
            </w:r>
          </w:p>
        </w:tc>
        <w:tc>
          <w:tcPr>
            <w:tcW w:type="dxa" w:w="141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العدد</w:t>
            </w:r>
          </w:p>
        </w:tc>
        <w:tc>
          <w:tcPr>
            <w:tcW w:type="dxa" w:w="376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التوقيت</w:t>
            </w:r>
          </w:p>
        </w:tc>
      </w:tr>
      <w:tr>
        <w:trPr>
          <w:cantSplit/>
          <w:tblHeader w:val="false"/>
        </w:trPr>
        <w:tc>
          <w:tcPr>
            <w:tcW w:type="dxa" w:w="44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مدير المشروع</w:t>
            </w:r>
          </w:p>
        </w:tc>
        <w:tc>
          <w:tcPr>
            <w:tcW w:type="dxa" w:w="141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376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فوراً</w:t>
            </w:r>
          </w:p>
        </w:tc>
      </w:tr>
      <w:tr>
        <w:trPr>
          <w:cantSplit/>
          <w:tblHeader w:val="false"/>
        </w:trPr>
        <w:tc>
          <w:tcPr>
            <w:tcW w:type="dxa" w:w="44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مهندس تخطيط وجدولة</w:t>
            </w:r>
          </w:p>
        </w:tc>
        <w:tc>
          <w:tcPr>
            <w:tcW w:type="dxa" w:w="141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376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فوراً</w:t>
            </w:r>
          </w:p>
        </w:tc>
      </w:tr>
      <w:tr>
        <w:trPr>
          <w:cantSplit/>
          <w:tblHeader w:val="false"/>
        </w:trPr>
        <w:tc>
          <w:tcPr>
            <w:tcW w:type="dxa" w:w="44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مهندس تكاليف وعقود</w:t>
            </w:r>
          </w:p>
        </w:tc>
        <w:tc>
          <w:tcPr>
            <w:tcW w:type="dxa" w:w="141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376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فوراً</w:t>
            </w:r>
          </w:p>
        </w:tc>
      </w:tr>
      <w:tr>
        <w:trPr>
          <w:cantSplit/>
          <w:tblHeader w:val="false"/>
        </w:trPr>
        <w:tc>
          <w:tcPr>
            <w:tcW w:type="dxa" w:w="44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مهندس واجهات وتنسيق</w:t>
            </w:r>
          </w:p>
        </w:tc>
        <w:tc>
          <w:tcPr>
            <w:tcW w:type="dxa" w:w="141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376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الأول 2027</w:t>
            </w:r>
          </w:p>
        </w:tc>
      </w:tr>
      <w:tr>
        <w:trPr>
          <w:cantSplit/>
          <w:tblHeader w:val="false"/>
        </w:trPr>
        <w:tc>
          <w:tcPr>
            <w:tcW w:type="dxa" w:w="44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مهندس جودة وسلامة</w:t>
            </w:r>
          </w:p>
        </w:tc>
        <w:tc>
          <w:tcPr>
            <w:tcW w:type="dxa" w:w="141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376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الأول 2027</w:t>
            </w:r>
          </w:p>
        </w:tc>
      </w:tr>
      <w:tr>
        <w:trPr>
          <w:cantSplit/>
          <w:tblHeader w:val="false"/>
        </w:trPr>
        <w:tc>
          <w:tcPr>
            <w:tcW w:type="dxa" w:w="44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مسؤول وثائق</w:t>
            </w:r>
          </w:p>
        </w:tc>
        <w:tc>
          <w:tcPr>
            <w:tcW w:type="dxa" w:w="141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376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فوراً</w:t>
            </w:r>
          </w:p>
        </w:tc>
      </w:tr>
    </w:tbl>
    <w:p>
      <w:pPr>
        <w:bidi/>
        <w:spacing w:after="60" w:before="0" w:line="300"/>
        <w:jc w:val="start"/>
      </w:pPr>
    </w:p>
    <w:p>
      <w:pPr>
        <w:bidi/>
        <w:spacing w:after="110" w:before="0" w:line="300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يُموَّل من بند "الإشراف" (8 ملايين) أو "احتياطي إدارة المشروع" (4 ملايين).</w:t>
      </w: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4. هيكل تجزئة العمل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38"/>
        <w:gridCol w:w="7822"/>
        <w:gridCol w:w="778"/>
      </w:tblGrid>
      <w:tr>
        <w:trPr>
          <w:cantSplit/>
          <w:tblHeader/>
        </w:trPr>
        <w:tc>
          <w:tcPr>
            <w:tcW w:type="dxa" w:w="103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المستوى 1</w:t>
            </w:r>
          </w:p>
        </w:tc>
        <w:tc>
          <w:tcPr>
            <w:tcW w:type="dxa" w:w="78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المستوى 2</w:t>
            </w:r>
          </w:p>
        </w:tc>
        <w:tc>
          <w:tcPr>
            <w:tcW w:type="dxa" w:w="7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المخرجات الرئيسية</w:t>
            </w:r>
          </w:p>
        </w:tc>
      </w:tr>
      <w:tr>
        <w:trPr>
          <w:cantSplit/>
          <w:tblHeader w:val="false"/>
        </w:trPr>
        <w:tc>
          <w:tcPr>
            <w:tcW w:type="dxa" w:w="103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1. الإطار والموافقات</w:t>
            </w:r>
          </w:p>
        </w:tc>
        <w:tc>
          <w:tcPr>
            <w:tcW w:type="dxa" w:w="78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1.1 ملحق المقر · 1.2 اتفاقية المساهمين · 1.3 تحويل الشركة · 1.4 الرخص · 1.5 التصاريح البيئية</w:t>
            </w:r>
          </w:p>
        </w:tc>
        <w:tc>
          <w:tcPr>
            <w:tcW w:type="dxa" w:w="7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ملاحق وعقود ورخص</w:t>
            </w:r>
          </w:p>
        </w:tc>
      </w:tr>
      <w:tr>
        <w:trPr>
          <w:cantSplit/>
          <w:tblHeader w:val="false"/>
        </w:trPr>
        <w:tc>
          <w:tcPr>
            <w:tcW w:type="dxa" w:w="103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2. التصميم</w:t>
            </w:r>
          </w:p>
        </w:tc>
        <w:tc>
          <w:tcPr>
            <w:tcW w:type="dxa" w:w="78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2.1 الهندسة القيمية · 2.2 التصميم التفصيلي للمركز والتجزئة · 2.3 تصميم الفندق · 2.4 التصريف والسيول · 2.5 المرور والمواقف</w:t>
            </w:r>
          </w:p>
        </w:tc>
        <w:tc>
          <w:tcPr>
            <w:tcW w:type="dxa" w:w="7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مخططات معتمدة للتنفيذ</w:t>
            </w:r>
          </w:p>
        </w:tc>
      </w:tr>
      <w:tr>
        <w:trPr>
          <w:cantSplit/>
          <w:tblHeader w:val="false"/>
        </w:trPr>
        <w:tc>
          <w:tcPr>
            <w:tcW w:type="dxa" w:w="103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3. الشراء والتعاقد</w:t>
            </w:r>
          </w:p>
        </w:tc>
        <w:tc>
          <w:tcPr>
            <w:tcW w:type="dxa" w:w="78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3.1 عقد التنفيذ الرئيسي · 3.2 الحزم المتخصصة · 3.3 البنود طويلة التوريد</w:t>
            </w:r>
          </w:p>
        </w:tc>
        <w:tc>
          <w:tcPr>
            <w:tcW w:type="dxa" w:w="7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عقود وأوامر شراء</w:t>
            </w:r>
          </w:p>
        </w:tc>
      </w:tr>
      <w:tr>
        <w:trPr>
          <w:cantSplit/>
          <w:tblHeader w:val="false"/>
        </w:trPr>
        <w:tc>
          <w:tcPr>
            <w:tcW w:type="dxa" w:w="103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4. الإنشاء</w:t>
            </w:r>
          </w:p>
        </w:tc>
        <w:tc>
          <w:tcPr>
            <w:tcW w:type="dxa" w:w="78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4.1 التربة والأساسات · 4.2 الهيكل: المركز · 4.3 الهيكل: التجزئة (حسب المباني) · 4.4 الهيكل: الفندق · 4.5 الأنظمة · 4.6 التشطيبات والواجهات · 4.7 تنسيق الموقع والمسطحات المائية · 4.8 البنية التحتية ومباني الخدمات</w:t>
            </w:r>
          </w:p>
        </w:tc>
        <w:tc>
          <w:tcPr>
            <w:tcW w:type="dxa" w:w="7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مبانٍ مكتملة</w:t>
            </w:r>
          </w:p>
        </w:tc>
      </w:tr>
      <w:tr>
        <w:trPr>
          <w:cantSplit/>
          <w:tblHeader w:val="false"/>
        </w:trPr>
        <w:tc>
          <w:tcPr>
            <w:tcW w:type="dxa" w:w="103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5. التجهيز والمحتوى</w:t>
            </w:r>
          </w:p>
        </w:tc>
        <w:tc>
          <w:tcPr>
            <w:tcW w:type="dxa" w:w="78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5.1 محتوى المركز وأنظمته · 5.2 أثاث الفندق وتجهيزاته · 5.3 تجهيز المستأجرين · 5.4 اللوحات والإرشاد</w:t>
            </w:r>
          </w:p>
        </w:tc>
        <w:tc>
          <w:tcPr>
            <w:tcW w:type="dxa" w:w="7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مساحات جاهزة للتشغيل</w:t>
            </w:r>
          </w:p>
        </w:tc>
      </w:tr>
      <w:tr>
        <w:trPr>
          <w:cantSplit/>
          <w:tblHeader w:val="false"/>
        </w:trPr>
        <w:tc>
          <w:tcPr>
            <w:tcW w:type="dxa" w:w="103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6. الاختبار والتسليم</w:t>
            </w:r>
          </w:p>
        </w:tc>
        <w:tc>
          <w:tcPr>
            <w:tcW w:type="dxa" w:w="78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6.1 الاختبار · 6.2 التشغيل التجريبي · 6.3 شهادات الإنجاز · 6.4 التسليم والوثائق</w:t>
            </w:r>
          </w:p>
        </w:tc>
        <w:tc>
          <w:tcPr>
            <w:tcW w:type="dxa" w:w="7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شهادات وأدلة تشغيل</w:t>
            </w:r>
          </w:p>
        </w:tc>
      </w:tr>
      <w:tr>
        <w:trPr>
          <w:cantSplit/>
          <w:tblHeader w:val="false"/>
        </w:trPr>
        <w:tc>
          <w:tcPr>
            <w:tcW w:type="dxa" w:w="103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7. ما قبل الافتتاح والافتتاح</w:t>
            </w:r>
          </w:p>
        </w:tc>
        <w:tc>
          <w:tcPr>
            <w:tcW w:type="dxa" w:w="78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7.1 التوظيف والتدريب · 7.2 التسويق · 7.3 الافتتاح التجريبي · 7.4 الافتتاح الكبير</w:t>
            </w:r>
          </w:p>
        </w:tc>
        <w:tc>
          <w:tcPr>
            <w:tcW w:type="dxa" w:w="7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وجهة تعمل</w:t>
            </w:r>
          </w:p>
        </w:tc>
      </w:tr>
      <w:tr>
        <w:trPr>
          <w:cantSplit/>
          <w:tblHeader w:val="false"/>
        </w:trPr>
        <w:tc>
          <w:tcPr>
            <w:tcW w:type="dxa" w:w="103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8. الإغلاق</w:t>
            </w:r>
          </w:p>
        </w:tc>
        <w:tc>
          <w:tcPr>
            <w:tcW w:type="dxa" w:w="78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8.1 فترة الصيانة · 8.2 التسوية النهائية · 8.3 الدروس المستفادة</w:t>
            </w:r>
          </w:p>
        </w:tc>
        <w:tc>
          <w:tcPr>
            <w:tcW w:type="dxa" w:w="7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الحساب الختامي</w:t>
            </w:r>
          </w:p>
        </w:tc>
      </w:tr>
    </w:tbl>
    <w:p>
      <w:pPr>
        <w:bidi/>
        <w:spacing w:after="60" w:before="0" w:line="300"/>
        <w:jc w:val="start"/>
      </w:pP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5. البرنامج الزمني والمسار الحرج</w:t>
      </w:r>
    </w:p>
    <w:p>
      <w:pPr>
        <w:keepNext/>
        <w:spacing w:after="40" w:before="8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160" w:before="0" w:line="300"/>
        <w:jc w:val="center"/>
      </w:pPr>
      <w:r>
        <w:rPr>
          <w:rFonts w:ascii="Arial" w:cs="Arial" w:eastAsia="Arial" w:hAnsi="Arial"/>
          <w:i/>
          <w:iCs/>
          <w:color w:val="5A6470"/>
          <w:sz w:val="17"/>
          <w:szCs w:val="17"/>
          <w:rtl/>
        </w:rPr>
        <w:t xml:space="preserve">البرنامج الزمني الرئيسي</w:t>
      </w: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5.1 المعالم الرئيسية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83"/>
        <w:gridCol w:w="2185"/>
        <w:gridCol w:w="2570"/>
      </w:tblGrid>
      <w:tr>
        <w:trPr>
          <w:cantSplit/>
          <w:tblHeader/>
        </w:trPr>
        <w:tc>
          <w:tcPr>
            <w:tcW w:type="dxa" w:w="48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المعلم</w:t>
            </w:r>
          </w:p>
        </w:tc>
        <w:tc>
          <w:tcPr>
            <w:tcW w:type="dxa" w:w="218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التاريخ المستهدف</w:t>
            </w:r>
          </w:p>
        </w:tc>
        <w:tc>
          <w:tcPr>
            <w:tcW w:type="dxa" w:w="25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نوعه</w:t>
            </w:r>
          </w:p>
        </w:tc>
      </w:tr>
      <w:tr>
        <w:trPr>
          <w:cantSplit/>
          <w:tblHeader w:val="false"/>
        </w:trPr>
        <w:tc>
          <w:tcPr>
            <w:tcW w:type="dxa" w:w="48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ملحق المقر المكتوب</w:t>
            </w:r>
          </w:p>
        </w:tc>
        <w:tc>
          <w:tcPr>
            <w:tcW w:type="dxa" w:w="218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يناير 2027</w:t>
            </w:r>
          </w:p>
        </w:tc>
        <w:tc>
          <w:tcPr>
            <w:tcW w:type="dxa" w:w="25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شرط مسبق</w:t>
            </w:r>
          </w:p>
        </w:tc>
      </w:tr>
      <w:tr>
        <w:trPr>
          <w:cantSplit/>
          <w:tblHeader w:val="false"/>
        </w:trPr>
        <w:tc>
          <w:tcPr>
            <w:tcW w:type="dxa" w:w="48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توقيع عقد التنفيذ بسعر أقصى مضمون</w:t>
            </w:r>
          </w:p>
        </w:tc>
        <w:tc>
          <w:tcPr>
            <w:tcW w:type="dxa" w:w="218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يناير 2027</w:t>
            </w:r>
          </w:p>
        </w:tc>
        <w:tc>
          <w:tcPr>
            <w:tcW w:type="dxa" w:w="25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شرط مسبق</w:t>
            </w:r>
          </w:p>
        </w:tc>
      </w:tr>
      <w:tr>
        <w:trPr>
          <w:cantSplit/>
          <w:tblHeader w:val="false"/>
        </w:trPr>
        <w:tc>
          <w:tcPr>
            <w:tcW w:type="dxa" w:w="48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اكتمال الأساسات</w:t>
            </w:r>
          </w:p>
        </w:tc>
        <w:tc>
          <w:tcPr>
            <w:tcW w:type="dxa" w:w="218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أبريل 2027</w:t>
            </w:r>
          </w:p>
        </w:tc>
        <w:tc>
          <w:tcPr>
            <w:tcW w:type="dxa" w:w="25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معلم إنشائي</w:t>
            </w:r>
          </w:p>
        </w:tc>
      </w:tr>
      <w:tr>
        <w:trPr>
          <w:cantSplit/>
          <w:tblHeader w:val="false"/>
        </w:trPr>
        <w:tc>
          <w:tcPr>
            <w:tcW w:type="dxa" w:w="48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اعتماد تصميم الفندق ورخصته</w:t>
            </w:r>
          </w:p>
        </w:tc>
        <w:tc>
          <w:tcPr>
            <w:tcW w:type="dxa" w:w="218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أغسطس 2027</w:t>
            </w:r>
          </w:p>
        </w:tc>
        <w:tc>
          <w:tcPr>
            <w:tcW w:type="dxa" w:w="25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شرط لبدء هيكل الفندق</w:t>
            </w:r>
          </w:p>
        </w:tc>
      </w:tr>
      <w:tr>
        <w:trPr>
          <w:cantSplit/>
          <w:tblHeader w:val="false"/>
        </w:trPr>
        <w:tc>
          <w:tcPr>
            <w:tcW w:type="dxa" w:w="48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اكتمال الهيكل الإنشائي للمركز والتجزئة</w:t>
            </w:r>
          </w:p>
        </w:tc>
        <w:tc>
          <w:tcPr>
            <w:tcW w:type="dxa" w:w="218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ديسمبر 2027</w:t>
            </w:r>
          </w:p>
        </w:tc>
        <w:tc>
          <w:tcPr>
            <w:tcW w:type="dxa" w:w="25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معلم إنشائي</w:t>
            </w:r>
          </w:p>
        </w:tc>
      </w:tr>
      <w:tr>
        <w:trPr>
          <w:cantSplit/>
          <w:tblHeader w:val="false"/>
        </w:trPr>
        <w:tc>
          <w:tcPr>
            <w:tcW w:type="dxa" w:w="48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نهاية فترة السماح الممددة</w:t>
            </w:r>
          </w:p>
        </w:tc>
        <w:tc>
          <w:tcPr>
            <w:tcW w:type="dxa" w:w="218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15 أبريل 2028</w:t>
            </w:r>
          </w:p>
        </w:tc>
        <w:tc>
          <w:tcPr>
            <w:tcW w:type="dxa" w:w="25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قيد تعاقدي</w:t>
            </w:r>
          </w:p>
        </w:tc>
      </w:tr>
      <w:tr>
        <w:trPr>
          <w:cantSplit/>
          <w:tblHeader w:val="false"/>
        </w:trPr>
        <w:tc>
          <w:tcPr>
            <w:tcW w:type="dxa" w:w="48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اكتمال الأنظمة والتشطيبات (المرحلة أ)</w:t>
            </w:r>
          </w:p>
        </w:tc>
        <w:tc>
          <w:tcPr>
            <w:tcW w:type="dxa" w:w="218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يوليو 2028</w:t>
            </w:r>
          </w:p>
        </w:tc>
        <w:tc>
          <w:tcPr>
            <w:tcW w:type="dxa" w:w="25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معلم إنشائي</w:t>
            </w:r>
          </w:p>
        </w:tc>
      </w:tr>
      <w:tr>
        <w:trPr>
          <w:cantSplit/>
          <w:tblHeader w:val="false"/>
        </w:trPr>
        <w:tc>
          <w:tcPr>
            <w:tcW w:type="dxa" w:w="48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اكتمال محتوى المركز</w:t>
            </w:r>
          </w:p>
        </w:tc>
        <w:tc>
          <w:tcPr>
            <w:tcW w:type="dxa" w:w="218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سبتمبر 2028</w:t>
            </w:r>
          </w:p>
        </w:tc>
        <w:tc>
          <w:tcPr>
            <w:tcW w:type="dxa" w:w="25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معلم حرج</w:t>
            </w:r>
          </w:p>
        </w:tc>
      </w:tr>
      <w:tr>
        <w:trPr>
          <w:cantSplit/>
          <w:tblHeader w:val="false"/>
        </w:trPr>
        <w:tc>
          <w:tcPr>
            <w:tcW w:type="dxa" w:w="48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الاختبار والتسليم</w:t>
            </w:r>
          </w:p>
        </w:tc>
        <w:tc>
          <w:tcPr>
            <w:tcW w:type="dxa" w:w="218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أكتوبر 2028</w:t>
            </w:r>
          </w:p>
        </w:tc>
        <w:tc>
          <w:tcPr>
            <w:tcW w:type="dxa" w:w="25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معلم حرج</w:t>
            </w:r>
          </w:p>
        </w:tc>
      </w:tr>
      <w:tr>
        <w:trPr>
          <w:cantSplit/>
          <w:tblHeader w:val="false"/>
        </w:trPr>
        <w:tc>
          <w:tcPr>
            <w:tcW w:type="dxa" w:w="48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الافتتاح الكبير</w:t>
            </w:r>
          </w:p>
        </w:tc>
        <w:tc>
          <w:tcPr>
            <w:tcW w:type="dxa" w:w="218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الربع الرابع 2028</w:t>
            </w:r>
          </w:p>
        </w:tc>
        <w:tc>
          <w:tcPr>
            <w:tcW w:type="dxa" w:w="25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هدف</w:t>
            </w:r>
          </w:p>
        </w:tc>
      </w:tr>
      <w:tr>
        <w:trPr>
          <w:cantSplit/>
          <w:tblHeader w:val="false"/>
        </w:trPr>
        <w:tc>
          <w:tcPr>
            <w:tcW w:type="dxa" w:w="48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افتتاح الفندق</w:t>
            </w:r>
          </w:p>
        </w:tc>
        <w:tc>
          <w:tcPr>
            <w:tcW w:type="dxa" w:w="218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منتصف 2029</w:t>
            </w:r>
          </w:p>
        </w:tc>
        <w:tc>
          <w:tcPr>
            <w:tcW w:type="dxa" w:w="25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هدف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5.2 المسار الحرج</w:t>
      </w:r>
    </w:p>
    <w:p>
      <w:pPr>
        <w:bidi/>
        <w:spacing w:after="110" w:before="0" w:line="300"/>
        <w:jc w:val="star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الموافقات ← الأساسات ← هيكل المركز والتجزئة ← الأنظمة والتشطيبات ← محتوى المركز ← الاختبار والتسليم ← الافتتاح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84"/>
        <w:gridCol w:w="3005"/>
        <w:gridCol w:w="4249"/>
      </w:tblGrid>
      <w:tr>
        <w:trPr>
          <w:cantSplit/>
          <w:tblHeader/>
        </w:trPr>
        <w:tc>
          <w:tcPr>
            <w:tcW w:type="dxa" w:w="23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النشاط الحرج</w:t>
            </w:r>
          </w:p>
        </w:tc>
        <w:tc>
          <w:tcPr>
            <w:tcW w:type="dxa" w:w="30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لماذا حرج</w:t>
            </w:r>
          </w:p>
        </w:tc>
        <w:tc>
          <w:tcPr>
            <w:tcW w:type="dxa" w:w="42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إجراء الحماية</w:t>
            </w:r>
          </w:p>
        </w:tc>
      </w:tr>
      <w:tr>
        <w:trPr>
          <w:cantSplit/>
          <w:tblHeader w:val="false"/>
        </w:trPr>
        <w:tc>
          <w:tcPr>
            <w:tcW w:type="dxa" w:w="23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ملحق المقر</w:t>
            </w:r>
          </w:p>
        </w:tc>
        <w:tc>
          <w:tcPr>
            <w:tcW w:type="dxa" w:w="30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يحدد بقاء العقد وترخيص الفندق</w:t>
            </w:r>
          </w:p>
        </w:tc>
        <w:tc>
          <w:tcPr>
            <w:tcW w:type="dxa" w:w="42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أولوية قصوى للإدارة</w:t>
            </w:r>
          </w:p>
        </w:tc>
      </w:tr>
      <w:tr>
        <w:trPr>
          <w:cantSplit/>
          <w:tblHeader w:val="false"/>
        </w:trPr>
        <w:tc>
          <w:tcPr>
            <w:tcW w:type="dxa" w:w="23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هيكل المركز</w:t>
            </w:r>
          </w:p>
        </w:tc>
        <w:tc>
          <w:tcPr>
            <w:tcW w:type="dxa" w:w="30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أطول نشاط إنشائي في المرحلة أ</w:t>
            </w:r>
          </w:p>
        </w:tc>
        <w:tc>
          <w:tcPr>
            <w:tcW w:type="dxa" w:w="42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بدء فوري، وفرق عمل متعددة</w:t>
            </w:r>
          </w:p>
        </w:tc>
      </w:tr>
      <w:tr>
        <w:trPr>
          <w:cantSplit/>
          <w:tblHeader w:val="false"/>
        </w:trPr>
        <w:tc>
          <w:tcPr>
            <w:tcW w:type="dxa" w:w="23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الأنظمة الكهروميكانيكية</w:t>
            </w:r>
          </w:p>
        </w:tc>
        <w:tc>
          <w:tcPr>
            <w:tcW w:type="dxa" w:w="30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بنود طويلة التوريد</w:t>
            </w:r>
          </w:p>
        </w:tc>
        <w:tc>
          <w:tcPr>
            <w:tcW w:type="dxa" w:w="42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طلب مبكر (الفصل 7)</w:t>
            </w:r>
          </w:p>
        </w:tc>
      </w:tr>
      <w:tr>
        <w:trPr>
          <w:cantSplit/>
          <w:tblHeader w:val="false"/>
        </w:trPr>
        <w:tc>
          <w:tcPr>
            <w:tcW w:type="dxa" w:w="23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محتوى المركز</w:t>
            </w:r>
          </w:p>
        </w:tc>
        <w:tc>
          <w:tcPr>
            <w:tcW w:type="dxa" w:w="30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12 شهراً تقريباً، ولا يُختصر</w:t>
            </w:r>
          </w:p>
        </w:tc>
        <w:tc>
          <w:tcPr>
            <w:tcW w:type="dxa" w:w="42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بدء التعاقد مع Midwam في الربع الأول 2027</w:t>
            </w:r>
          </w:p>
        </w:tc>
      </w:tr>
      <w:tr>
        <w:trPr>
          <w:cantSplit/>
          <w:tblHeader w:val="false"/>
        </w:trPr>
        <w:tc>
          <w:tcPr>
            <w:tcW w:type="dxa" w:w="23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الاختبار والتسليم</w:t>
            </w:r>
          </w:p>
        </w:tc>
        <w:tc>
          <w:tcPr>
            <w:tcW w:type="dxa" w:w="30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لا يبدأ إلا باكتمال الأنظمة</w:t>
            </w:r>
          </w:p>
        </w:tc>
        <w:tc>
          <w:tcPr>
            <w:tcW w:type="dxa" w:w="42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خطة اختبار من الآن</w:t>
            </w:r>
          </w:p>
        </w:tc>
      </w:tr>
    </w:tbl>
    <w:p>
      <w:pPr>
        <w:bidi/>
        <w:spacing w:after="60" w:before="0" w:line="300"/>
        <w:jc w:val="start"/>
      </w:pP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6. استراتيجية فترة السماح والمرحلية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EF2F6" w:sz="4"/>
              <w:left w:val="single" w:color="3E6E9E" w:sz="36"/>
              <w:bottom w:val="single" w:color="EEF2F6" w:sz="4"/>
              <w:right w:val="single" w:color="EEF2F6" w:sz="4"/>
            </w:tcBorders>
            <w:shd w:fill="EEF2F6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  <w:rtl/>
              </w:rPr>
              <w:t xml:space="preserve">الإنشاء يكتمل في يوليو 2028، والافتتاح في الربع الرابع 2028، بينما تنتهي فترة السماح الممددة في 15 أبريل 2028.</w:t>
            </w:r>
            <w:r>
              <w:rPr>
                <w:rFonts w:ascii="Arial" w:cs="Arial" w:eastAsia="Arial" w:hAnsi="Arial"/>
                <w:color w:val="1F3A5F"/>
                <w:sz w:val="22"/>
                <w:szCs w:val="22"/>
                <w:rtl/>
              </w:rPr>
              <w:t xml:space="preserve"> المادة 5 من عقد المقر تشترط إكمال الإنشاء </w:t>
            </w: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  <w:rtl/>
              </w:rPr>
              <w:t xml:space="preserve">وبدء التشغيل</w:t>
            </w:r>
            <w:r>
              <w:rPr>
                <w:rFonts w:ascii="Arial" w:cs="Arial" w:eastAsia="Arial" w:hAnsi="Arial"/>
                <w:color w:val="1F3A5F"/>
                <w:sz w:val="22"/>
                <w:szCs w:val="22"/>
                <w:rtl/>
              </w:rPr>
              <w:t xml:space="preserve"> داخل المهلة.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6.1 الخيارات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45"/>
        <w:gridCol w:w="3978"/>
        <w:gridCol w:w="1513"/>
        <w:gridCol w:w="2802"/>
      </w:tblGrid>
      <w:tr>
        <w:trPr>
          <w:cantSplit/>
          <w:tblHeader/>
        </w:trPr>
        <w:tc>
          <w:tcPr>
            <w:tcW w:type="dxa" w:w="13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الخيار</w:t>
            </w:r>
          </w:p>
        </w:tc>
        <w:tc>
          <w:tcPr>
            <w:tcW w:type="dxa" w:w="39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الوصف</w:t>
            </w:r>
          </w:p>
        </w:tc>
        <w:tc>
          <w:tcPr>
            <w:tcW w:type="dxa" w:w="15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الإيجابيات</w:t>
            </w:r>
          </w:p>
        </w:tc>
        <w:tc>
          <w:tcPr>
            <w:tcW w:type="dxa" w:w="28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السلبيات</w:t>
            </w:r>
          </w:p>
        </w:tc>
      </w:tr>
      <w:tr>
        <w:trPr>
          <w:cantSplit/>
          <w:tblHeader w:val="false"/>
        </w:trPr>
        <w:tc>
          <w:tcPr>
            <w:tcW w:type="dxa" w:w="13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أ. تمديد إضافي مكتوب</w:t>
            </w:r>
          </w:p>
        </w:tc>
        <w:tc>
          <w:tcPr>
            <w:tcW w:type="dxa" w:w="39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طلب تمديد حتى نهاية 2028 للمرحلة أ، وربط الفندق بملحقه</w:t>
            </w:r>
          </w:p>
        </w:tc>
        <w:tc>
          <w:tcPr>
            <w:tcW w:type="dxa" w:w="15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الأبسط والأقل كلفة</w:t>
            </w:r>
          </w:p>
        </w:tc>
        <w:tc>
          <w:tcPr>
            <w:tcW w:type="dxa" w:w="28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يعتمد على المقر</w:t>
            </w:r>
          </w:p>
        </w:tc>
      </w:tr>
      <w:tr>
        <w:trPr>
          <w:cantSplit/>
          <w:tblHeader w:val="false"/>
        </w:trPr>
        <w:tc>
          <w:tcPr>
            <w:tcW w:type="dxa" w:w="13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ب. التسريع</w:t>
            </w:r>
          </w:p>
        </w:tc>
        <w:tc>
          <w:tcPr>
            <w:tcW w:type="dxa" w:w="39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ضغط البرنامج من 24 إلى نحو 20 شهراً بتداخل التصميم والتنفيذ وفرق متعددة</w:t>
            </w:r>
          </w:p>
        </w:tc>
        <w:tc>
          <w:tcPr>
            <w:tcW w:type="dxa" w:w="15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يقرب الاكتمال من أبريل 2028</w:t>
            </w:r>
          </w:p>
        </w:tc>
        <w:tc>
          <w:tcPr>
            <w:tcW w:type="dxa" w:w="28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تكلفة إضافية، ولا يحل مشكلة المحتوى</w:t>
            </w:r>
          </w:p>
        </w:tc>
      </w:tr>
      <w:tr>
        <w:trPr>
          <w:cantSplit/>
          <w:tblHeader w:val="false"/>
        </w:trPr>
        <w:tc>
          <w:tcPr>
            <w:tcW w:type="dxa" w:w="13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ج. التشغيل الجزئي المبكر</w:t>
            </w:r>
          </w:p>
        </w:tc>
        <w:tc>
          <w:tcPr>
            <w:tcW w:type="dxa" w:w="39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افتتاح جزء من البوليفارد (مطاعم ومقاهٍ) قبل أبريل 2028</w:t>
            </w:r>
          </w:p>
        </w:tc>
        <w:tc>
          <w:tcPr>
            <w:tcW w:type="dxa" w:w="15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يثبت "بدء التشغيل"</w:t>
            </w:r>
          </w:p>
        </w:tc>
        <w:tc>
          <w:tcPr>
            <w:tcW w:type="dxa" w:w="28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يتطلب فصل المرحلة وتشغيل جزء من الموقع وسط الأعمال</w:t>
            </w:r>
          </w:p>
        </w:tc>
      </w:tr>
      <w:tr>
        <w:trPr>
          <w:cantSplit/>
          <w:tblHeader w:val="false"/>
        </w:trPr>
        <w:tc>
          <w:tcPr>
            <w:tcW w:type="dxa" w:w="134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د. المزيج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 (موصى به)</w:t>
            </w:r>
          </w:p>
        </w:tc>
        <w:tc>
          <w:tcPr>
            <w:tcW w:type="dxa" w:w="39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طلب تمديد مكتوب (أ) + تجهيز خطة تشغيل جزئي احتياطية (ج)</w:t>
            </w:r>
          </w:p>
        </w:tc>
        <w:tc>
          <w:tcPr>
            <w:tcW w:type="dxa" w:w="15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يحمي المشروع في كل الحالات</w:t>
            </w:r>
          </w:p>
        </w:tc>
        <w:tc>
          <w:tcPr>
            <w:tcW w:type="dxa" w:w="28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يحتاج تخطيطاً مبكراً لتسلسل المباني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6.2 ترتيب أولوية المباني (لدعم الخيار ج)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1.  </w:t>
      </w:r>
      <w:r>
        <w:rPr>
          <w:rFonts w:ascii="Arial" w:cs="Arial" w:eastAsia="Arial" w:hAnsi="Arial"/>
          <w:sz w:val="21"/>
          <w:szCs w:val="21"/>
          <w:rtl/>
        </w:rPr>
        <w:t xml:space="preserve">مباني التجزئة الأقرب للمدخل الرئيسي والمواقف (المنطقة الأولى، 815 موقفاً).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2.  </w:t>
      </w:r>
      <w:r>
        <w:rPr>
          <w:rFonts w:ascii="Arial" w:cs="Arial" w:eastAsia="Arial" w:hAnsi="Arial"/>
          <w:sz w:val="21"/>
          <w:szCs w:val="21"/>
          <w:rtl/>
        </w:rPr>
        <w:t xml:space="preserve">المسطحات المائية الرئيسية وجزء من تنسيق الموقع.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3.  </w:t>
      </w:r>
      <w:r>
        <w:rPr>
          <w:rFonts w:ascii="Arial" w:cs="Arial" w:eastAsia="Arial" w:hAnsi="Arial"/>
          <w:sz w:val="21"/>
          <w:szCs w:val="21"/>
          <w:rtl/>
        </w:rPr>
        <w:t xml:space="preserve">مركز التجربة.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4.  </w:t>
      </w:r>
      <w:r>
        <w:rPr>
          <w:rFonts w:ascii="Arial" w:cs="Arial" w:eastAsia="Arial" w:hAnsi="Arial"/>
          <w:sz w:val="21"/>
          <w:szCs w:val="21"/>
          <w:rtl/>
        </w:rPr>
        <w:t xml:space="preserve">بقية مباني التجزئة.</w:t>
      </w:r>
    </w:p>
    <w:p>
      <w:pPr>
        <w:bidi/>
        <w:spacing w:after="70" w:line="300"/>
        <w:ind w:right="240"/>
      </w:pPr>
      <w:r>
        <w:rPr>
          <w:rFonts w:ascii="Arial" w:cs="Arial" w:eastAsia="Arial" w:hAnsi="Arial"/>
          <w:b/>
          <w:bCs/>
          <w:color w:val="3E6E9E"/>
          <w:sz w:val="21"/>
          <w:szCs w:val="21"/>
          <w:rtl/>
        </w:rPr>
        <w:t xml:space="preserve">5.  </w:t>
      </w:r>
      <w:r>
        <w:rPr>
          <w:rFonts w:ascii="Arial" w:cs="Arial" w:eastAsia="Arial" w:hAnsi="Arial"/>
          <w:sz w:val="21"/>
          <w:szCs w:val="21"/>
          <w:rtl/>
        </w:rPr>
        <w:t xml:space="preserve">الفندق (مسار مستقل مرتبط بملحقه).</w:t>
      </w: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7. خطة الشراء والتعاقد</w:t>
      </w: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7.1 حزم التعاقد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"/>
        <w:gridCol w:w="2134"/>
        <w:gridCol w:w="3973"/>
        <w:gridCol w:w="1839"/>
        <w:gridCol w:w="1251"/>
      </w:tblGrid>
      <w:tr>
        <w:trPr>
          <w:cantSplit/>
          <w:tblHeader/>
        </w:trPr>
        <w:tc>
          <w:tcPr>
            <w:tcW w:type="dxa" w:w="44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213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الحزمة</w:t>
            </w:r>
          </w:p>
        </w:tc>
        <w:tc>
          <w:tcPr>
            <w:tcW w:type="dxa" w:w="397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المتعاقد</w:t>
            </w:r>
          </w:p>
        </w:tc>
        <w:tc>
          <w:tcPr>
            <w:tcW w:type="dxa" w:w="183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الشكل</w:t>
            </w:r>
          </w:p>
        </w:tc>
        <w:tc>
          <w:tcPr>
            <w:tcW w:type="dxa" w:w="12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التوقيت</w:t>
            </w:r>
          </w:p>
        </w:tc>
      </w:tr>
      <w:tr>
        <w:trPr>
          <w:cantSplit/>
          <w:tblHeader w:val="false"/>
        </w:trPr>
        <w:tc>
          <w:tcPr>
            <w:tcW w:type="dxa" w:w="44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213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التنفيذ الرئيسي والتمويل</w:t>
            </w:r>
          </w:p>
        </w:tc>
        <w:tc>
          <w:tcPr>
            <w:tcW w:type="dxa" w:w="397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</w:t>
            </w:r>
          </w:p>
        </w:tc>
        <w:tc>
          <w:tcPr>
            <w:tcW w:type="dxa" w:w="183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سعر أقصى مضمون</w:t>
            </w:r>
          </w:p>
        </w:tc>
        <w:tc>
          <w:tcPr>
            <w:tcW w:type="dxa" w:w="12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الأول 2027</w:t>
            </w:r>
          </w:p>
        </w:tc>
      </w:tr>
      <w:tr>
        <w:trPr>
          <w:cantSplit/>
          <w:tblHeader w:val="false"/>
        </w:trPr>
        <w:tc>
          <w:tcPr>
            <w:tcW w:type="dxa" w:w="44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213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محتوى المركز وأنظمته</w:t>
            </w:r>
          </w:p>
        </w:tc>
        <w:tc>
          <w:tcPr>
            <w:tcW w:type="dxa" w:w="397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Midwam / مورد متخصص</w:t>
            </w:r>
          </w:p>
        </w:tc>
        <w:tc>
          <w:tcPr>
            <w:tcW w:type="dxa" w:w="183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عقد مستقل أو ضمن الحزمة 1</w:t>
            </w:r>
          </w:p>
        </w:tc>
        <w:tc>
          <w:tcPr>
            <w:tcW w:type="dxa" w:w="12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الأول 2027</w:t>
            </w:r>
          </w:p>
        </w:tc>
      </w:tr>
      <w:tr>
        <w:trPr>
          <w:cantSplit/>
          <w:tblHeader w:val="false"/>
        </w:trPr>
        <w:tc>
          <w:tcPr>
            <w:tcW w:type="dxa" w:w="44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213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التبريد المركزي</w:t>
            </w:r>
          </w:p>
        </w:tc>
        <w:tc>
          <w:tcPr>
            <w:tcW w:type="dxa" w:w="397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سعودي تبريد</w:t>
            </w:r>
          </w:p>
        </w:tc>
        <w:tc>
          <w:tcPr>
            <w:tcW w:type="dxa" w:w="183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عقد خدمة</w:t>
            </w:r>
          </w:p>
        </w:tc>
        <w:tc>
          <w:tcPr>
            <w:tcW w:type="dxa" w:w="12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الأول 2027</w:t>
            </w:r>
          </w:p>
        </w:tc>
      </w:tr>
      <w:tr>
        <w:trPr>
          <w:cantSplit/>
          <w:tblHeader w:val="false"/>
        </w:trPr>
        <w:tc>
          <w:tcPr>
            <w:tcW w:type="dxa" w:w="44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213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أثاث الفندق وتجهيزاته</w:t>
            </w:r>
          </w:p>
        </w:tc>
        <w:tc>
          <w:tcPr>
            <w:tcW w:type="dxa" w:w="397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موردون وفق معايير IHG</w:t>
            </w:r>
          </w:p>
        </w:tc>
        <w:tc>
          <w:tcPr>
            <w:tcW w:type="dxa" w:w="183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توريد وتركيب</w:t>
            </w:r>
          </w:p>
        </w:tc>
        <w:tc>
          <w:tcPr>
            <w:tcW w:type="dxa" w:w="12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2028</w:t>
            </w:r>
          </w:p>
        </w:tc>
      </w:tr>
      <w:tr>
        <w:trPr>
          <w:cantSplit/>
          <w:tblHeader w:val="false"/>
        </w:trPr>
        <w:tc>
          <w:tcPr>
            <w:tcW w:type="dxa" w:w="44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213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المصاعد والسلالم المتحركة</w:t>
            </w:r>
          </w:p>
        </w:tc>
        <w:tc>
          <w:tcPr>
            <w:tcW w:type="dxa" w:w="397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مورد متخصص</w:t>
            </w:r>
          </w:p>
        </w:tc>
        <w:tc>
          <w:tcPr>
            <w:tcW w:type="dxa" w:w="183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ضمن الحزمة 1 بمورد معتمد</w:t>
            </w:r>
          </w:p>
        </w:tc>
        <w:tc>
          <w:tcPr>
            <w:tcW w:type="dxa" w:w="12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الثاني 2027</w:t>
            </w:r>
          </w:p>
        </w:tc>
      </w:tr>
      <w:tr>
        <w:trPr>
          <w:cantSplit/>
          <w:tblHeader w:val="false"/>
        </w:trPr>
        <w:tc>
          <w:tcPr>
            <w:tcW w:type="dxa" w:w="44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213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الواجهات المميزة (الجبلية)</w:t>
            </w:r>
          </w:p>
        </w:tc>
        <w:tc>
          <w:tcPr>
            <w:tcW w:type="dxa" w:w="397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مقاول باطن متخصص</w:t>
            </w:r>
          </w:p>
        </w:tc>
        <w:tc>
          <w:tcPr>
            <w:tcW w:type="dxa" w:w="183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ضمن الحزمة 1</w:t>
            </w:r>
          </w:p>
        </w:tc>
        <w:tc>
          <w:tcPr>
            <w:tcW w:type="dxa" w:w="12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الثالث 2027</w:t>
            </w:r>
          </w:p>
        </w:tc>
      </w:tr>
      <w:tr>
        <w:trPr>
          <w:cantSplit/>
          <w:tblHeader w:val="false"/>
        </w:trPr>
        <w:tc>
          <w:tcPr>
            <w:tcW w:type="dxa" w:w="44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213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المسطحات المائية والنوافير</w:t>
            </w:r>
          </w:p>
        </w:tc>
        <w:tc>
          <w:tcPr>
            <w:tcW w:type="dxa" w:w="397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مقاول متخصص</w:t>
            </w:r>
          </w:p>
        </w:tc>
        <w:tc>
          <w:tcPr>
            <w:tcW w:type="dxa" w:w="183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ضمن الحزمة 1</w:t>
            </w:r>
          </w:p>
        </w:tc>
        <w:tc>
          <w:tcPr>
            <w:tcW w:type="dxa" w:w="12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2027</w:t>
            </w:r>
          </w:p>
        </w:tc>
      </w:tr>
      <w:tr>
        <w:trPr>
          <w:cantSplit/>
          <w:tblHeader w:val="false"/>
        </w:trPr>
        <w:tc>
          <w:tcPr>
            <w:tcW w:type="dxa" w:w="44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213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أنظمة الأمن والتقنية واللوحات</w:t>
            </w:r>
          </w:p>
        </w:tc>
        <w:tc>
          <w:tcPr>
            <w:tcW w:type="dxa" w:w="397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مورد متخصص</w:t>
            </w:r>
          </w:p>
        </w:tc>
        <w:tc>
          <w:tcPr>
            <w:tcW w:type="dxa" w:w="183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ضمن الحزمة 1 أو مستقل</w:t>
            </w:r>
          </w:p>
        </w:tc>
        <w:tc>
          <w:tcPr>
            <w:tcW w:type="dxa" w:w="12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2028</w:t>
            </w:r>
          </w:p>
        </w:tc>
      </w:tr>
      <w:tr>
        <w:trPr>
          <w:cantSplit/>
          <w:tblHeader w:val="false"/>
        </w:trPr>
        <w:tc>
          <w:tcPr>
            <w:tcW w:type="dxa" w:w="44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213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الخدمات الاستشارية المعتمدة</w:t>
            </w:r>
          </w:p>
        </w:tc>
        <w:tc>
          <w:tcPr>
            <w:tcW w:type="dxa" w:w="397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مكتب كميات، ومرور، وبيئة، وهيدرولوجيا، وتقييم، وقانوني</w:t>
            </w:r>
          </w:p>
        </w:tc>
        <w:tc>
          <w:tcPr>
            <w:tcW w:type="dxa" w:w="183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عقود خدمات</w:t>
            </w:r>
          </w:p>
        </w:tc>
        <w:tc>
          <w:tcPr>
            <w:tcW w:type="dxa" w:w="12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الرابع 2026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7.2 البنود طويلة التوريد (تقديرات للتخطيط)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0"/>
        <w:gridCol w:w="2353"/>
        <w:gridCol w:w="1905"/>
      </w:tblGrid>
      <w:tr>
        <w:trPr>
          <w:cantSplit/>
          <w:tblHeader/>
        </w:trPr>
        <w:tc>
          <w:tcPr>
            <w:tcW w:type="dxa" w:w="5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البند</w:t>
            </w:r>
          </w:p>
        </w:tc>
        <w:tc>
          <w:tcPr>
            <w:tcW w:type="dxa" w:w="235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مدة التوريد التقديرية</w:t>
            </w:r>
          </w:p>
        </w:tc>
        <w:tc>
          <w:tcPr>
            <w:tcW w:type="dxa" w:w="1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آخر موعد للطلب</w:t>
            </w:r>
          </w:p>
        </w:tc>
      </w:tr>
      <w:tr>
        <w:trPr>
          <w:cantSplit/>
          <w:tblHeader w:val="false"/>
        </w:trPr>
        <w:tc>
          <w:tcPr>
            <w:tcW w:type="dxa" w:w="5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المحولات ولوحات الجهد المتوسط (مع شركة الكهرباء)</w:t>
            </w:r>
          </w:p>
        </w:tc>
        <w:tc>
          <w:tcPr>
            <w:tcW w:type="dxa" w:w="235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9 – 12 شهراً</w:t>
            </w:r>
          </w:p>
        </w:tc>
        <w:tc>
          <w:tcPr>
            <w:tcW w:type="dxa" w:w="1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الثاني 2027</w:t>
            </w:r>
          </w:p>
        </w:tc>
      </w:tr>
      <w:tr>
        <w:trPr>
          <w:cantSplit/>
          <w:tblHeader w:val="false"/>
        </w:trPr>
        <w:tc>
          <w:tcPr>
            <w:tcW w:type="dxa" w:w="5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المصاعد</w:t>
            </w:r>
          </w:p>
        </w:tc>
        <w:tc>
          <w:tcPr>
            <w:tcW w:type="dxa" w:w="235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6 – 9 أشهر</w:t>
            </w:r>
          </w:p>
        </w:tc>
        <w:tc>
          <w:tcPr>
            <w:tcW w:type="dxa" w:w="1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الثالث 2027</w:t>
            </w:r>
          </w:p>
        </w:tc>
      </w:tr>
      <w:tr>
        <w:trPr>
          <w:cantSplit/>
          <w:tblHeader w:val="false"/>
        </w:trPr>
        <w:tc>
          <w:tcPr>
            <w:tcW w:type="dxa" w:w="5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معدات التبريد (إذا لم يُعتمد التبريد المركزي)</w:t>
            </w:r>
          </w:p>
        </w:tc>
        <w:tc>
          <w:tcPr>
            <w:tcW w:type="dxa" w:w="235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6 – 9 أشهر</w:t>
            </w:r>
          </w:p>
        </w:tc>
        <w:tc>
          <w:tcPr>
            <w:tcW w:type="dxa" w:w="1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الثاني 2027</w:t>
            </w:r>
          </w:p>
        </w:tc>
      </w:tr>
      <w:tr>
        <w:trPr>
          <w:cantSplit/>
          <w:tblHeader w:val="false"/>
        </w:trPr>
        <w:tc>
          <w:tcPr>
            <w:tcW w:type="dxa" w:w="5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أنظمة العرض والصوت للمركز</w:t>
            </w:r>
          </w:p>
        </w:tc>
        <w:tc>
          <w:tcPr>
            <w:tcW w:type="dxa" w:w="235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6 – 9 أشهر</w:t>
            </w:r>
          </w:p>
        </w:tc>
        <w:tc>
          <w:tcPr>
            <w:tcW w:type="dxa" w:w="1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الرابع 2027</w:t>
            </w:r>
          </w:p>
        </w:tc>
      </w:tr>
      <w:tr>
        <w:trPr>
          <w:cantSplit/>
          <w:tblHeader w:val="false"/>
        </w:trPr>
        <w:tc>
          <w:tcPr>
            <w:tcW w:type="dxa" w:w="5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أثاث الفندق</w:t>
            </w:r>
          </w:p>
        </w:tc>
        <w:tc>
          <w:tcPr>
            <w:tcW w:type="dxa" w:w="235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6 – 9 أشهر</w:t>
            </w:r>
          </w:p>
        </w:tc>
        <w:tc>
          <w:tcPr>
            <w:tcW w:type="dxa" w:w="1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الثالث 2028</w:t>
            </w:r>
          </w:p>
        </w:tc>
      </w:tr>
      <w:tr>
        <w:trPr>
          <w:cantSplit/>
          <w:tblHeader w:val="false"/>
        </w:trPr>
        <w:tc>
          <w:tcPr>
            <w:tcW w:type="dxa" w:w="5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الواجهات المصنعة</w:t>
            </w:r>
          </w:p>
        </w:tc>
        <w:tc>
          <w:tcPr>
            <w:tcW w:type="dxa" w:w="235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4 – 6 أشهر</w:t>
            </w:r>
          </w:p>
        </w:tc>
        <w:tc>
          <w:tcPr>
            <w:tcW w:type="dxa" w:w="1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الربع الثالث 2027</w:t>
            </w:r>
          </w:p>
        </w:tc>
      </w:tr>
    </w:tbl>
    <w:p>
      <w:pPr>
        <w:bidi/>
        <w:spacing w:after="60" w:before="0" w:line="300"/>
        <w:jc w:val="start"/>
      </w:pPr>
    </w:p>
    <w:p>
      <w:pPr>
        <w:bidi/>
        <w:spacing w:after="110" w:before="0" w:line="300"/>
        <w:jc w:val="star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ملاحظة:</w:t>
      </w:r>
      <w:r>
        <w:rPr>
          <w:rFonts w:ascii="Arial" w:cs="Arial" w:eastAsia="Arial" w:hAnsi="Arial"/>
          <w:sz w:val="21"/>
          <w:szCs w:val="21"/>
          <w:rtl/>
        </w:rPr>
        <w:t xml:space="preserve"> المدد تقديرية للتخطيط، وتُحدَّث بعروض الموردين الفعلية.</w:t>
      </w: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8. إدارة التكلفة وأوامر التغيير</w:t>
      </w: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8.1 خط الأساس للتكلفة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43"/>
        <w:gridCol w:w="2095"/>
      </w:tblGrid>
      <w:tr>
        <w:trPr>
          <w:cantSplit/>
          <w:tblHeader/>
        </w:trPr>
        <w:tc>
          <w:tcPr>
            <w:tcW w:type="dxa" w:w="754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البند</w:t>
            </w:r>
          </w:p>
        </w:tc>
        <w:tc>
          <w:tcPr>
            <w:tcW w:type="dxa" w:w="209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مليون ريال</w:t>
            </w:r>
          </w:p>
        </w:tc>
      </w:tr>
      <w:tr>
        <w:trPr>
          <w:cantSplit/>
          <w:tblHeader w:val="false"/>
        </w:trPr>
        <w:tc>
          <w:tcPr>
            <w:tcW w:type="dxa" w:w="754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تكاليف الإنشاء (بعد الهندسة القيمية)</w:t>
            </w:r>
          </w:p>
        </w:tc>
        <w:tc>
          <w:tcPr>
            <w:tcW w:type="dxa" w:w="209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443.6</w:t>
            </w:r>
          </w:p>
        </w:tc>
      </w:tr>
      <w:tr>
        <w:trPr>
          <w:cantSplit/>
          <w:tblHeader w:val="false"/>
        </w:trPr>
        <w:tc>
          <w:tcPr>
            <w:tcW w:type="dxa" w:w="754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الاحتياطيات (طوارئ + إدارة مشروع)</w:t>
            </w:r>
          </w:p>
        </w:tc>
        <w:tc>
          <w:tcPr>
            <w:tcW w:type="dxa" w:w="209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15.0</w:t>
            </w:r>
          </w:p>
        </w:tc>
      </w:tr>
      <w:tr>
        <w:trPr>
          <w:cantSplit/>
          <w:tblHeader w:val="false"/>
        </w:trPr>
        <w:tc>
          <w:tcPr>
            <w:tcW w:type="dxa" w:w="754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التكاليف الناعمة</w:t>
            </w:r>
          </w:p>
        </w:tc>
        <w:tc>
          <w:tcPr>
            <w:tcW w:type="dxa" w:w="209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28.0</w:t>
            </w:r>
          </w:p>
        </w:tc>
      </w:tr>
      <w:tr>
        <w:trPr>
          <w:cantSplit/>
          <w:tblHeader w:val="false"/>
        </w:trPr>
        <w:tc>
          <w:tcPr>
            <w:tcW w:type="dxa" w:w="754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الإيجار والإدارة أثناء الإنشاء</w:t>
            </w:r>
          </w:p>
        </w:tc>
        <w:tc>
          <w:tcPr>
            <w:tcW w:type="dxa" w:w="209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5.0</w:t>
            </w:r>
          </w:p>
        </w:tc>
      </w:tr>
      <w:tr>
        <w:trPr>
          <w:cantSplit/>
          <w:tblHeader w:val="false"/>
        </w:trPr>
        <w:tc>
          <w:tcPr>
            <w:tcW w:type="dxa" w:w="754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ما قبل الافتتاح</w:t>
            </w:r>
          </w:p>
        </w:tc>
        <w:tc>
          <w:tcPr>
            <w:tcW w:type="dxa" w:w="209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58.4</w:t>
            </w:r>
          </w:p>
        </w:tc>
      </w:tr>
      <w:tr>
        <w:trPr>
          <w:cantSplit/>
          <w:tblHeader w:val="false"/>
        </w:trPr>
        <w:tc>
          <w:tcPr>
            <w:tcW w:type="dxa" w:w="754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الإجمالي</w:t>
            </w:r>
          </w:p>
        </w:tc>
        <w:tc>
          <w:tcPr>
            <w:tcW w:type="dxa" w:w="209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550.0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8.2 منحنى الإنفاق (خط الأساس لقياس التقدم)</w:t>
      </w:r>
    </w:p>
    <w:p>
      <w:pPr>
        <w:keepNext/>
        <w:spacing w:after="40" w:before="80"/>
        <w:jc w:val="center"/>
      </w:pPr>
      <w:r>
        <w:drawing>
          <wp:inline distT="0" distB="0" distL="0" distR="0">
            <wp:extent cx="5524500" cy="2209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160" w:before="0" w:line="300"/>
        <w:jc w:val="center"/>
      </w:pPr>
      <w:r>
        <w:rPr>
          <w:rFonts w:ascii="Arial" w:cs="Arial" w:eastAsia="Arial" w:hAnsi="Arial"/>
          <w:i/>
          <w:iCs/>
          <w:color w:val="5A6470"/>
          <w:sz w:val="17"/>
          <w:szCs w:val="17"/>
          <w:rtl/>
        </w:rPr>
        <w:t xml:space="preserve">منحنى الإنفاق المخطط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18"/>
        <w:gridCol w:w="4320"/>
      </w:tblGrid>
      <w:tr>
        <w:trPr>
          <w:cantSplit/>
          <w:tblHeader/>
        </w:trPr>
        <w:tc>
          <w:tcPr>
            <w:tcW w:type="dxa" w:w="531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النسبة</w:t>
            </w:r>
          </w:p>
        </w:tc>
        <w:tc>
          <w:tcPr>
            <w:tcW w:type="dxa" w:w="432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الموعد المخطط</w:t>
            </w:r>
          </w:p>
        </w:tc>
      </w:tr>
      <w:tr>
        <w:trPr>
          <w:cantSplit/>
          <w:tblHeader w:val="false"/>
        </w:trPr>
        <w:tc>
          <w:tcPr>
            <w:tcW w:type="dxa" w:w="531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25% من الاستثمار</w:t>
            </w:r>
          </w:p>
        </w:tc>
        <w:tc>
          <w:tcPr>
            <w:tcW w:type="dxa" w:w="432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فبراير 2027</w:t>
            </w:r>
          </w:p>
        </w:tc>
      </w:tr>
      <w:tr>
        <w:trPr>
          <w:cantSplit/>
          <w:tblHeader w:val="false"/>
        </w:trPr>
        <w:tc>
          <w:tcPr>
            <w:tcW w:type="dxa" w:w="531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50%</w:t>
            </w:r>
          </w:p>
        </w:tc>
        <w:tc>
          <w:tcPr>
            <w:tcW w:type="dxa" w:w="432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سبتمبر 2027</w:t>
            </w:r>
          </w:p>
        </w:tc>
      </w:tr>
      <w:tr>
        <w:trPr>
          <w:cantSplit/>
          <w:tblHeader w:val="false"/>
        </w:trPr>
        <w:tc>
          <w:tcPr>
            <w:tcW w:type="dxa" w:w="531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75%</w:t>
            </w:r>
          </w:p>
        </w:tc>
        <w:tc>
          <w:tcPr>
            <w:tcW w:type="dxa" w:w="432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مارس 2028</w:t>
            </w:r>
          </w:p>
        </w:tc>
      </w:tr>
      <w:tr>
        <w:trPr>
          <w:cantSplit/>
          <w:tblHeader w:val="false"/>
        </w:trPr>
        <w:tc>
          <w:tcPr>
            <w:tcW w:type="dxa" w:w="531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100%</w:t>
            </w:r>
          </w:p>
        </w:tc>
        <w:tc>
          <w:tcPr>
            <w:tcW w:type="dxa" w:w="432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يونيو 2029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8.3 إجراء أوامر التغيير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80"/>
        <w:gridCol w:w="1629"/>
        <w:gridCol w:w="1629"/>
      </w:tblGrid>
      <w:tr>
        <w:trPr>
          <w:cantSplit/>
          <w:tblHeader/>
        </w:trPr>
        <w:tc>
          <w:tcPr>
            <w:tcW w:type="dxa" w:w="6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الخطوة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المسؤول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المدة القصوى</w:t>
            </w:r>
          </w:p>
        </w:tc>
      </w:tr>
      <w:tr>
        <w:trPr>
          <w:cantSplit/>
          <w:tblHeader w:val="false"/>
        </w:trPr>
        <w:tc>
          <w:tcPr>
            <w:tcW w:type="dxa" w:w="6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1. طلب التغيير (من المالك أو المقاول أو المشغل)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الطالب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6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2. تقييم فني وأثر على البرنامج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الاستشاري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7 أيام</w:t>
            </w:r>
          </w:p>
        </w:tc>
      </w:tr>
      <w:tr>
        <w:trPr>
          <w:cantSplit/>
          <w:tblHeader w:val="false"/>
        </w:trPr>
        <w:tc>
          <w:tcPr>
            <w:tcW w:type="dxa" w:w="6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3. تقييم التكلفة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مكتب الكميات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7 أيام</w:t>
            </w:r>
          </w:p>
        </w:tc>
      </w:tr>
      <w:tr>
        <w:trPr>
          <w:cantSplit/>
          <w:tblHeader w:val="false"/>
        </w:trPr>
        <w:tc>
          <w:tcPr>
            <w:tcW w:type="dxa" w:w="6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4. الاعتماد حسب الصلاحيات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الفصل 8.4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7 أيام</w:t>
            </w:r>
          </w:p>
        </w:tc>
      </w:tr>
      <w:tr>
        <w:trPr>
          <w:cantSplit/>
          <w:tblHeader w:val="false"/>
        </w:trPr>
        <w:tc>
          <w:tcPr>
            <w:tcW w:type="dxa" w:w="6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5. أمر تغيير مكتوب للمقاول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مدير المشروع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3 أيام</w:t>
            </w:r>
          </w:p>
        </w:tc>
      </w:tr>
      <w:tr>
        <w:trPr>
          <w:cantSplit/>
          <w:tblHeader w:val="false"/>
        </w:trPr>
        <w:tc>
          <w:tcPr>
            <w:tcW w:type="dxa" w:w="638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6. تحديث خط الأساس والسجل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مدير المشروع</w:t>
            </w:r>
          </w:p>
        </w:tc>
        <w:tc>
          <w:tcPr>
            <w:tcW w:type="dxa" w:w="162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فوراً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8.4 صلاحيات اعتماد التغيير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16"/>
        <w:gridCol w:w="4922"/>
      </w:tblGrid>
      <w:tr>
        <w:trPr>
          <w:cantSplit/>
          <w:tblHeader/>
        </w:trPr>
        <w:tc>
          <w:tcPr>
            <w:tcW w:type="dxa" w:w="47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قيمة التغيير</w:t>
            </w:r>
          </w:p>
        </w:tc>
        <w:tc>
          <w:tcPr>
            <w:tcW w:type="dxa" w:w="49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الاعتماد</w:t>
            </w:r>
          </w:p>
        </w:tc>
      </w:tr>
      <w:tr>
        <w:trPr>
          <w:cantSplit/>
          <w:tblHeader w:val="false"/>
        </w:trPr>
        <w:tc>
          <w:tcPr>
            <w:tcW w:type="dxa" w:w="47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حتى 300 ألف ريال</w:t>
            </w:r>
          </w:p>
        </w:tc>
        <w:tc>
          <w:tcPr>
            <w:tcW w:type="dxa" w:w="49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مدير المشروع + الاستشاري</w:t>
            </w:r>
          </w:p>
        </w:tc>
      </w:tr>
      <w:tr>
        <w:trPr>
          <w:cantSplit/>
          <w:tblHeader w:val="false"/>
        </w:trPr>
        <w:tc>
          <w:tcPr>
            <w:tcW w:type="dxa" w:w="47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300 ألف – مليون</w:t>
            </w:r>
          </w:p>
        </w:tc>
        <w:tc>
          <w:tcPr>
            <w:tcW w:type="dxa" w:w="49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الرئيس التنفيذي</w:t>
            </w:r>
          </w:p>
        </w:tc>
      </w:tr>
      <w:tr>
        <w:trPr>
          <w:cantSplit/>
          <w:tblHeader w:val="false"/>
        </w:trPr>
        <w:tc>
          <w:tcPr>
            <w:tcW w:type="dxa" w:w="47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مليون – 5 ملايين</w:t>
            </w:r>
          </w:p>
        </w:tc>
        <w:tc>
          <w:tcPr>
            <w:tcW w:type="dxa" w:w="49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لجنة التطوير</w:t>
            </w:r>
          </w:p>
        </w:tc>
      </w:tr>
      <w:tr>
        <w:trPr>
          <w:cantSplit/>
          <w:tblHeader w:val="false"/>
        </w:trPr>
        <w:tc>
          <w:tcPr>
            <w:tcW w:type="dxa" w:w="47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أكثر من 5 ملايين، أو أي سحب من احتياطي الطوارئ</w:t>
            </w:r>
          </w:p>
        </w:tc>
        <w:tc>
          <w:tcPr>
            <w:tcW w:type="dxa" w:w="492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مجلس المديرين (ممثلو المقاول ممتنعون عن التصويت)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8.5 مؤشرات الرقابة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8"/>
        <w:gridCol w:w="3879"/>
        <w:gridCol w:w="2351"/>
      </w:tblGrid>
      <w:tr>
        <w:trPr>
          <w:cantSplit/>
          <w:tblHeader/>
        </w:trPr>
        <w:tc>
          <w:tcPr>
            <w:tcW w:type="dxa" w:w="340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المؤشر</w:t>
            </w:r>
          </w:p>
        </w:tc>
        <w:tc>
          <w:tcPr>
            <w:tcW w:type="dxa" w:w="387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التعريف</w:t>
            </w:r>
          </w:p>
        </w:tc>
        <w:tc>
          <w:tcPr>
            <w:tcW w:type="dxa" w:w="23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حد التنبيه</w:t>
            </w:r>
          </w:p>
        </w:tc>
      </w:tr>
      <w:tr>
        <w:trPr>
          <w:cantSplit/>
          <w:tblHeader w:val="false"/>
        </w:trPr>
        <w:tc>
          <w:tcPr>
            <w:tcW w:type="dxa" w:w="340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مؤشر أداء التكلفة (CPI)</w:t>
            </w:r>
          </w:p>
        </w:tc>
        <w:tc>
          <w:tcPr>
            <w:tcW w:type="dxa" w:w="387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القيمة المكتسبة ÷ التكلفة الفعلية</w:t>
            </w:r>
          </w:p>
        </w:tc>
        <w:tc>
          <w:tcPr>
            <w:tcW w:type="dxa" w:w="23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أقل من 0.95</w:t>
            </w:r>
          </w:p>
        </w:tc>
      </w:tr>
      <w:tr>
        <w:trPr>
          <w:cantSplit/>
          <w:tblHeader w:val="false"/>
        </w:trPr>
        <w:tc>
          <w:tcPr>
            <w:tcW w:type="dxa" w:w="340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مؤشر أداء الجدول (SPI)</w:t>
            </w:r>
          </w:p>
        </w:tc>
        <w:tc>
          <w:tcPr>
            <w:tcW w:type="dxa" w:w="387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القيمة المكتسبة ÷ القيمة المخططة</w:t>
            </w:r>
          </w:p>
        </w:tc>
        <w:tc>
          <w:tcPr>
            <w:tcW w:type="dxa" w:w="23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أقل من 0.95</w:t>
            </w:r>
          </w:p>
        </w:tc>
      </w:tr>
      <w:tr>
        <w:trPr>
          <w:cantSplit/>
          <w:tblHeader w:val="false"/>
        </w:trPr>
        <w:tc>
          <w:tcPr>
            <w:tcW w:type="dxa" w:w="340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استهلاك الاحتياطي</w:t>
            </w:r>
          </w:p>
        </w:tc>
        <w:tc>
          <w:tcPr>
            <w:tcW w:type="dxa" w:w="387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المستخدم ÷ المتبقي من الأعمال</w:t>
            </w:r>
          </w:p>
        </w:tc>
        <w:tc>
          <w:tcPr>
            <w:tcW w:type="dxa" w:w="23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أعلى من نسبة الإنجاز</w:t>
            </w:r>
          </w:p>
        </w:tc>
      </w:tr>
      <w:tr>
        <w:trPr>
          <w:cantSplit/>
          <w:tblHeader w:val="false"/>
        </w:trPr>
        <w:tc>
          <w:tcPr>
            <w:tcW w:type="dxa" w:w="340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التكلفة المتوقعة عند الاكتمال</w:t>
            </w:r>
          </w:p>
        </w:tc>
        <w:tc>
          <w:tcPr>
            <w:tcW w:type="dxa" w:w="387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محدّثة شهرياً</w:t>
            </w:r>
          </w:p>
        </w:tc>
        <w:tc>
          <w:tcPr>
            <w:tcW w:type="dxa" w:w="23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أي تجاوز لـ550</w:t>
            </w:r>
          </w:p>
        </w:tc>
      </w:tr>
    </w:tbl>
    <w:p>
      <w:pPr>
        <w:bidi/>
        <w:spacing w:after="60" w:before="0" w:line="300"/>
        <w:jc w:val="start"/>
      </w:pP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9. إدارة البرنامج الزمني والتأخير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40"/>
        <w:gridCol w:w="7798"/>
      </w:tblGrid>
      <w:tr>
        <w:trPr>
          <w:cantSplit/>
          <w:tblHeader/>
        </w:trPr>
        <w:tc>
          <w:tcPr>
            <w:tcW w:type="dxa" w:w="184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العنصر</w:t>
            </w:r>
          </w:p>
        </w:tc>
        <w:tc>
          <w:tcPr>
            <w:tcW w:type="dxa" w:w="779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الإجراء</w:t>
            </w:r>
          </w:p>
        </w:tc>
      </w:tr>
      <w:tr>
        <w:trPr>
          <w:cantSplit/>
          <w:tblHeader w:val="false"/>
        </w:trPr>
        <w:tc>
          <w:tcPr>
            <w:tcW w:type="dxa" w:w="184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البرنامج الأساسي</w:t>
            </w:r>
          </w:p>
        </w:tc>
        <w:tc>
          <w:tcPr>
            <w:tcW w:type="dxa" w:w="779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يقدمه المقاول خلال 30 يوماً من التوقيع، ويعتمده الاستشاري، بمستوى تفصيل كافٍ للمسار الحرج</w:t>
            </w:r>
          </w:p>
        </w:tc>
      </w:tr>
      <w:tr>
        <w:trPr>
          <w:cantSplit/>
          <w:tblHeader w:val="false"/>
        </w:trPr>
        <w:tc>
          <w:tcPr>
            <w:tcW w:type="dxa" w:w="184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التحديث</w:t>
            </w:r>
          </w:p>
        </w:tc>
        <w:tc>
          <w:tcPr>
            <w:tcW w:type="dxa" w:w="779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شهري، مع تحليل للانحراف</w:t>
            </w:r>
          </w:p>
        </w:tc>
      </w:tr>
      <w:tr>
        <w:trPr>
          <w:cantSplit/>
          <w:tblHeader w:val="false"/>
        </w:trPr>
        <w:tc>
          <w:tcPr>
            <w:tcW w:type="dxa" w:w="184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برنامج الثلاثة أسابيع</w:t>
            </w:r>
          </w:p>
        </w:tc>
        <w:tc>
          <w:tcPr>
            <w:tcW w:type="dxa" w:w="779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أسبوعي للموقع</w:t>
            </w:r>
          </w:p>
        </w:tc>
      </w:tr>
      <w:tr>
        <w:trPr>
          <w:cantSplit/>
          <w:tblHeader w:val="false"/>
        </w:trPr>
        <w:tc>
          <w:tcPr>
            <w:tcW w:type="dxa" w:w="184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تحليل التأخير</w:t>
            </w:r>
          </w:p>
        </w:tc>
        <w:tc>
          <w:tcPr>
            <w:tcW w:type="dxa" w:w="779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بطريقة تحليل أثر الزمن على البرنامج المحدّث</w:t>
            </w:r>
          </w:p>
        </w:tc>
      </w:tr>
      <w:tr>
        <w:trPr>
          <w:cantSplit/>
          <w:tblHeader w:val="false"/>
        </w:trPr>
        <w:tc>
          <w:tcPr>
            <w:tcW w:type="dxa" w:w="184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طلبات التمديد</w:t>
            </w:r>
          </w:p>
        </w:tc>
        <w:tc>
          <w:tcPr>
            <w:tcW w:type="dxa" w:w="779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خلال المدة التعاقدية، بإشعار مكتوب وتحليل موثق</w:t>
            </w:r>
          </w:p>
        </w:tc>
      </w:tr>
      <w:tr>
        <w:trPr>
          <w:cantSplit/>
          <w:tblHeader w:val="false"/>
        </w:trPr>
        <w:tc>
          <w:tcPr>
            <w:tcW w:type="dxa" w:w="184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خطط الاستدراك</w:t>
            </w:r>
          </w:p>
        </w:tc>
        <w:tc>
          <w:tcPr>
            <w:tcW w:type="dxa" w:w="779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إلزامية عند تأخر أي نشاط حرج أكثر من 14 يوماً</w:t>
            </w:r>
          </w:p>
        </w:tc>
      </w:tr>
    </w:tbl>
    <w:p>
      <w:pPr>
        <w:bidi/>
        <w:spacing w:after="60" w:before="0" w:line="300"/>
        <w:jc w:val="start"/>
      </w:pP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EF2F6" w:sz="4"/>
              <w:left w:val="single" w:color="3E6E9E" w:sz="36"/>
              <w:bottom w:val="single" w:color="EEF2F6" w:sz="4"/>
              <w:right w:val="single" w:color="EEF2F6" w:sz="4"/>
            </w:tcBorders>
            <w:shd w:fill="EEF2F6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  <w:rtl/>
              </w:rPr>
              <w:t xml:space="preserve">ملاحظة تعاقدية:</w:t>
            </w:r>
            <w:r>
              <w:rPr>
                <w:rFonts w:ascii="Arial" w:cs="Arial" w:eastAsia="Arial" w:hAnsi="Arial"/>
                <w:color w:val="1F3A5F"/>
                <w:sz w:val="22"/>
                <w:szCs w:val="22"/>
                <w:rtl/>
              </w:rPr>
              <w:t xml:space="preserve"> سجل الأحداث المتأخرة من جهة المالك (اعتماد المخططات، وقرارات النطاق، والموافقات) </w:t>
            </w: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  <w:rtl/>
              </w:rPr>
              <w:t xml:space="preserve">يُوثق من الآن</w:t>
            </w:r>
            <w:r>
              <w:rPr>
                <w:rFonts w:ascii="Arial" w:cs="Arial" w:eastAsia="Arial" w:hAnsi="Arial"/>
                <w:color w:val="1F3A5F"/>
                <w:sz w:val="22"/>
                <w:szCs w:val="22"/>
                <w:rtl/>
              </w:rPr>
              <w:t xml:space="preserve">، لأنه أساس أي تمديد أو مطالبة لاحقاً (الدراسة 10).</w:t>
            </w:r>
          </w:p>
        </w:tc>
      </w:tr>
    </w:tbl>
    <w:p>
      <w:pPr>
        <w:bidi/>
        <w:spacing w:after="60" w:before="0" w:line="300"/>
        <w:jc w:val="start"/>
      </w:pP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10. إدارة الجودة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68"/>
        <w:gridCol w:w="5016"/>
        <w:gridCol w:w="2754"/>
      </w:tblGrid>
      <w:tr>
        <w:trPr>
          <w:cantSplit/>
          <w:tblHeader/>
        </w:trPr>
        <w:tc>
          <w:tcPr>
            <w:tcW w:type="dxa" w:w="186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العنصر</w:t>
            </w:r>
          </w:p>
        </w:tc>
        <w:tc>
          <w:tcPr>
            <w:tcW w:type="dxa" w:w="50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المضمون</w:t>
            </w:r>
          </w:p>
        </w:tc>
        <w:tc>
          <w:tcPr>
            <w:tcW w:type="dxa" w:w="275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المسؤول</w:t>
            </w:r>
          </w:p>
        </w:tc>
      </w:tr>
      <w:tr>
        <w:trPr>
          <w:cantSplit/>
          <w:tblHeader w:val="false"/>
        </w:trPr>
        <w:tc>
          <w:tcPr>
            <w:tcW w:type="dxa" w:w="186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خطة الجودة</w:t>
            </w:r>
          </w:p>
        </w:tc>
        <w:tc>
          <w:tcPr>
            <w:tcW w:type="dxa" w:w="50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يقدمها المقاول، ويعتمدها الاستشاري</w:t>
            </w:r>
          </w:p>
        </w:tc>
        <w:tc>
          <w:tcPr>
            <w:tcW w:type="dxa" w:w="275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</w:t>
            </w:r>
          </w:p>
        </w:tc>
      </w:tr>
      <w:tr>
        <w:trPr>
          <w:cantSplit/>
          <w:tblHeader w:val="false"/>
        </w:trPr>
        <w:tc>
          <w:tcPr>
            <w:tcW w:type="dxa" w:w="186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خطط الفحص والاختبار</w:t>
            </w:r>
          </w:p>
        </w:tc>
        <w:tc>
          <w:tcPr>
            <w:tcW w:type="dxa" w:w="50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لكل بند رئيسي</w:t>
            </w:r>
          </w:p>
        </w:tc>
        <w:tc>
          <w:tcPr>
            <w:tcW w:type="dxa" w:w="275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 / الاستشاري</w:t>
            </w:r>
          </w:p>
        </w:tc>
      </w:tr>
      <w:tr>
        <w:trPr>
          <w:cantSplit/>
          <w:tblHeader w:val="false"/>
        </w:trPr>
        <w:tc>
          <w:tcPr>
            <w:tcW w:type="dxa" w:w="186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طلبات اعتماد المواد</w:t>
            </w:r>
          </w:p>
        </w:tc>
        <w:tc>
          <w:tcPr>
            <w:tcW w:type="dxa" w:w="50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قبل التوريد</w:t>
            </w:r>
          </w:p>
        </w:tc>
        <w:tc>
          <w:tcPr>
            <w:tcW w:type="dxa" w:w="275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الاستشاري</w:t>
            </w:r>
          </w:p>
        </w:tc>
      </w:tr>
      <w:tr>
        <w:trPr>
          <w:cantSplit/>
          <w:tblHeader w:val="false"/>
        </w:trPr>
        <w:tc>
          <w:tcPr>
            <w:tcW w:type="dxa" w:w="186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طلبات الفحص</w:t>
            </w:r>
          </w:p>
        </w:tc>
        <w:tc>
          <w:tcPr>
            <w:tcW w:type="dxa" w:w="50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قبل تغطية أي عمل</w:t>
            </w:r>
          </w:p>
        </w:tc>
        <w:tc>
          <w:tcPr>
            <w:tcW w:type="dxa" w:w="275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الاستشاري</w:t>
            </w:r>
          </w:p>
        </w:tc>
      </w:tr>
      <w:tr>
        <w:trPr>
          <w:cantSplit/>
          <w:tblHeader w:val="false"/>
        </w:trPr>
        <w:tc>
          <w:tcPr>
            <w:tcW w:type="dxa" w:w="186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النماذج التجريبية</w:t>
            </w:r>
          </w:p>
        </w:tc>
        <w:tc>
          <w:tcPr>
            <w:tcW w:type="dxa" w:w="50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للواجهات، وغرفة فندقية نموذجية، ووحدة تجزئة نموذجية</w:t>
            </w:r>
          </w:p>
        </w:tc>
        <w:tc>
          <w:tcPr>
            <w:tcW w:type="dxa" w:w="275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المقاول، باعتماد IHG والمالك</w:t>
            </w:r>
          </w:p>
        </w:tc>
      </w:tr>
      <w:tr>
        <w:trPr>
          <w:cantSplit/>
          <w:tblHeader w:val="false"/>
        </w:trPr>
        <w:tc>
          <w:tcPr>
            <w:tcW w:type="dxa" w:w="186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الاختبارات المعملية</w:t>
            </w:r>
          </w:p>
        </w:tc>
        <w:tc>
          <w:tcPr>
            <w:tcW w:type="dxa" w:w="50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الخرسانة، والتربة، والحديد عبر مختبر معتمد</w:t>
            </w:r>
          </w:p>
        </w:tc>
        <w:tc>
          <w:tcPr>
            <w:tcW w:type="dxa" w:w="275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مختبر مستقل</w:t>
            </w:r>
          </w:p>
        </w:tc>
      </w:tr>
      <w:tr>
        <w:trPr>
          <w:cantSplit/>
          <w:tblHeader w:val="false"/>
        </w:trPr>
        <w:tc>
          <w:tcPr>
            <w:tcW w:type="dxa" w:w="186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تقارير عدم المطابقة</w:t>
            </w:r>
          </w:p>
        </w:tc>
        <w:tc>
          <w:tcPr>
            <w:tcW w:type="dxa" w:w="50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تسجيل ومعالجة ومتابعة إغلاق</w:t>
            </w:r>
          </w:p>
        </w:tc>
        <w:tc>
          <w:tcPr>
            <w:tcW w:type="dxa" w:w="275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الاستشاري</w:t>
            </w:r>
          </w:p>
        </w:tc>
      </w:tr>
      <w:tr>
        <w:trPr>
          <w:cantSplit/>
          <w:tblHeader w:val="false"/>
        </w:trPr>
        <w:tc>
          <w:tcPr>
            <w:tcW w:type="dxa" w:w="186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المراجعات الدورية</w:t>
            </w:r>
          </w:p>
        </w:tc>
        <w:tc>
          <w:tcPr>
            <w:tcW w:type="dxa" w:w="50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تدقيق جودة ربع سنوي</w:t>
            </w:r>
          </w:p>
        </w:tc>
        <w:tc>
          <w:tcPr>
            <w:tcW w:type="dxa" w:w="275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مدير المشروع</w:t>
            </w:r>
          </w:p>
        </w:tc>
      </w:tr>
    </w:tbl>
    <w:p>
      <w:pPr>
        <w:bidi/>
        <w:spacing w:after="60" w:before="0" w:line="300"/>
        <w:jc w:val="start"/>
      </w:pP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11. إدارة الواجهات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6"/>
        <w:gridCol w:w="1483"/>
        <w:gridCol w:w="4912"/>
        <w:gridCol w:w="927"/>
      </w:tblGrid>
      <w:tr>
        <w:trPr>
          <w:cantSplit/>
          <w:tblHeader/>
        </w:trPr>
        <w:tc>
          <w:tcPr>
            <w:tcW w:type="dxa" w:w="23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الواجهة</w:t>
            </w:r>
          </w:p>
        </w:tc>
        <w:tc>
          <w:tcPr>
            <w:tcW w:type="dxa" w:w="14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الطرفان</w:t>
            </w:r>
          </w:p>
        </w:tc>
        <w:tc>
          <w:tcPr>
            <w:tcW w:type="dxa" w:w="49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الموضوع</w:t>
            </w:r>
          </w:p>
        </w:tc>
        <w:tc>
          <w:tcPr>
            <w:tcW w:type="dxa" w:w="92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التوقيت</w:t>
            </w:r>
          </w:p>
        </w:tc>
      </w:tr>
      <w:tr>
        <w:trPr>
          <w:cantSplit/>
          <w:tblHeader w:val="false"/>
        </w:trPr>
        <w:tc>
          <w:tcPr>
            <w:tcW w:type="dxa" w:w="23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المقاول ↔ IHG</w:t>
            </w:r>
          </w:p>
        </w:tc>
        <w:tc>
          <w:tcPr>
            <w:tcW w:type="dxa" w:w="14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التصميم والتنفيذ</w:t>
            </w:r>
          </w:p>
        </w:tc>
        <w:tc>
          <w:tcPr>
            <w:tcW w:type="dxa" w:w="49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معايير العلامة، والغرف النموذجية، والأنظمة</w:t>
            </w:r>
          </w:p>
        </w:tc>
        <w:tc>
          <w:tcPr>
            <w:tcW w:type="dxa" w:w="92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من التصميم</w:t>
            </w:r>
          </w:p>
        </w:tc>
      </w:tr>
      <w:tr>
        <w:trPr>
          <w:cantSplit/>
          <w:tblHeader w:val="false"/>
        </w:trPr>
        <w:tc>
          <w:tcPr>
            <w:tcW w:type="dxa" w:w="23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المقاول ↔ Midwam</w:t>
            </w:r>
          </w:p>
        </w:tc>
        <w:tc>
          <w:tcPr>
            <w:tcW w:type="dxa" w:w="14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المحتوى والمبنى</w:t>
            </w:r>
          </w:p>
        </w:tc>
        <w:tc>
          <w:tcPr>
            <w:tcW w:type="dxa" w:w="49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الأحمال، والارتفاعات، والكهرباء، والتبريد، والصوتيات</w:t>
            </w:r>
          </w:p>
        </w:tc>
        <w:tc>
          <w:tcPr>
            <w:tcW w:type="dxa" w:w="92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من التصميم</w:t>
            </w:r>
          </w:p>
        </w:tc>
      </w:tr>
      <w:tr>
        <w:trPr>
          <w:cantSplit/>
          <w:tblHeader w:val="false"/>
        </w:trPr>
        <w:tc>
          <w:tcPr>
            <w:tcW w:type="dxa" w:w="23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المقاول ↔ المستأجرون</w:t>
            </w:r>
          </w:p>
        </w:tc>
        <w:tc>
          <w:tcPr>
            <w:tcW w:type="dxa" w:w="14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التجهيز</w:t>
            </w:r>
          </w:p>
        </w:tc>
        <w:tc>
          <w:tcPr>
            <w:tcW w:type="dxa" w:w="49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حدود التسليم (هيكل فقط)، ونقاط التوصيل، ودليل التجهيز</w:t>
            </w:r>
          </w:p>
        </w:tc>
        <w:tc>
          <w:tcPr>
            <w:tcW w:type="dxa" w:w="92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2028</w:t>
            </w:r>
          </w:p>
        </w:tc>
      </w:tr>
      <w:tr>
        <w:trPr>
          <w:cantSplit/>
          <w:tblHeader w:val="false"/>
        </w:trPr>
        <w:tc>
          <w:tcPr>
            <w:tcW w:type="dxa" w:w="23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المقاول ↔ سعودي تبريد</w:t>
            </w:r>
          </w:p>
        </w:tc>
        <w:tc>
          <w:tcPr>
            <w:tcW w:type="dxa" w:w="14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التبريد</w:t>
            </w:r>
          </w:p>
        </w:tc>
        <w:tc>
          <w:tcPr>
            <w:tcW w:type="dxa" w:w="49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نقطة التوصيل، والسعة، والجدول</w:t>
            </w:r>
          </w:p>
        </w:tc>
        <w:tc>
          <w:tcPr>
            <w:tcW w:type="dxa" w:w="92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2027</w:t>
            </w:r>
          </w:p>
        </w:tc>
      </w:tr>
      <w:tr>
        <w:trPr>
          <w:cantSplit/>
          <w:tblHeader w:val="false"/>
        </w:trPr>
        <w:tc>
          <w:tcPr>
            <w:tcW w:type="dxa" w:w="23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المقاول ↔ شركة الكهرباء</w:t>
            </w:r>
          </w:p>
        </w:tc>
        <w:tc>
          <w:tcPr>
            <w:tcW w:type="dxa" w:w="14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الطاقة</w:t>
            </w:r>
          </w:p>
        </w:tc>
        <w:tc>
          <w:tcPr>
            <w:tcW w:type="dxa" w:w="49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المحطات، والتوصيل، والجدول</w:t>
            </w:r>
          </w:p>
        </w:tc>
        <w:tc>
          <w:tcPr>
            <w:tcW w:type="dxa" w:w="92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2027</w:t>
            </w:r>
          </w:p>
        </w:tc>
      </w:tr>
      <w:tr>
        <w:trPr>
          <w:cantSplit/>
          <w:tblHeader w:val="false"/>
        </w:trPr>
        <w:tc>
          <w:tcPr>
            <w:tcW w:type="dxa" w:w="23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المقاول ↔ المياه الوطنية</w:t>
            </w:r>
          </w:p>
        </w:tc>
        <w:tc>
          <w:tcPr>
            <w:tcW w:type="dxa" w:w="14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المياه والصرف</w:t>
            </w:r>
          </w:p>
        </w:tc>
        <w:tc>
          <w:tcPr>
            <w:tcW w:type="dxa" w:w="49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التوصيلات والسعات</w:t>
            </w:r>
          </w:p>
        </w:tc>
        <w:tc>
          <w:tcPr>
            <w:tcW w:type="dxa" w:w="92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2027</w:t>
            </w:r>
          </w:p>
        </w:tc>
      </w:tr>
      <w:tr>
        <w:trPr>
          <w:cantSplit/>
          <w:tblHeader w:val="false"/>
        </w:trPr>
        <w:tc>
          <w:tcPr>
            <w:tcW w:type="dxa" w:w="23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المقاول ↔ الأمانة</w:t>
            </w:r>
          </w:p>
        </w:tc>
        <w:tc>
          <w:tcPr>
            <w:tcW w:type="dxa" w:w="14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الطرق والتصريف</w:t>
            </w:r>
          </w:p>
        </w:tc>
        <w:tc>
          <w:tcPr>
            <w:tcW w:type="dxa" w:w="49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المداخل، والعبّارات، ومشاريع درء السيول</w:t>
            </w:r>
          </w:p>
        </w:tc>
        <w:tc>
          <w:tcPr>
            <w:tcW w:type="dxa" w:w="92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2027</w:t>
            </w:r>
          </w:p>
        </w:tc>
      </w:tr>
      <w:tr>
        <w:trPr>
          <w:cantSplit/>
          <w:tblHeader w:val="false"/>
        </w:trPr>
        <w:tc>
          <w:tcPr>
            <w:tcW w:type="dxa" w:w="231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المشروع ↔ حديقة الملك فهد</w:t>
            </w:r>
          </w:p>
        </w:tc>
        <w:tc>
          <w:tcPr>
            <w:tcW w:type="dxa" w:w="148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الحدود</w:t>
            </w:r>
          </w:p>
        </w:tc>
        <w:tc>
          <w:tcPr>
            <w:tcW w:type="dxa" w:w="49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المشاة، والمواقف المشتركة، والأشجار</w:t>
            </w:r>
          </w:p>
        </w:tc>
        <w:tc>
          <w:tcPr>
            <w:tcW w:type="dxa" w:w="92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2027</w:t>
            </w:r>
          </w:p>
        </w:tc>
      </w:tr>
    </w:tbl>
    <w:p>
      <w:pPr>
        <w:bidi/>
        <w:spacing w:after="60" w:before="0" w:line="300"/>
        <w:jc w:val="start"/>
      </w:pPr>
    </w:p>
    <w:p>
      <w:pPr>
        <w:bidi/>
        <w:spacing w:after="110" w:before="0" w:line="300"/>
        <w:jc w:val="star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أداة الإدارة:</w:t>
      </w:r>
      <w:r>
        <w:rPr>
          <w:rFonts w:ascii="Arial" w:cs="Arial" w:eastAsia="Arial" w:hAnsi="Arial"/>
          <w:sz w:val="21"/>
          <w:szCs w:val="21"/>
          <w:rtl/>
        </w:rPr>
        <w:t xml:space="preserve"> سجل واجهات يحدده مدير المشروع، لكل واجهة مسؤول وموعد إغلاق.</w:t>
      </w: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12. خارطة الموافقات والتصاريح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"/>
        <w:gridCol w:w="3291"/>
        <w:gridCol w:w="3213"/>
        <w:gridCol w:w="1097"/>
        <w:gridCol w:w="1567"/>
      </w:tblGrid>
      <w:tr>
        <w:trPr>
          <w:cantSplit/>
          <w:tblHeader/>
        </w:trPr>
        <w:tc>
          <w:tcPr>
            <w:tcW w:type="dxa" w:w="4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32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الموافقة</w:t>
            </w:r>
          </w:p>
        </w:tc>
        <w:tc>
          <w:tcPr>
            <w:tcW w:type="dxa" w:w="32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الجهة</w:t>
            </w:r>
          </w:p>
        </w:tc>
        <w:tc>
          <w:tcPr>
            <w:tcW w:type="dxa" w:w="109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الموعد المطلوب</w:t>
            </w:r>
          </w:p>
        </w:tc>
        <w:tc>
          <w:tcPr>
            <w:tcW w:type="dxa" w:w="15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تأثيرها على البرنامج</w:t>
            </w:r>
          </w:p>
        </w:tc>
      </w:tr>
      <w:tr>
        <w:trPr>
          <w:cantSplit/>
          <w:tblHeader w:val="false"/>
        </w:trPr>
        <w:tc>
          <w:tcPr>
            <w:tcW w:type="dxa" w:w="4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32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ملحق المقر (التمديد، والفندق، والارتفاعات)</w:t>
            </w:r>
          </w:p>
        </w:tc>
        <w:tc>
          <w:tcPr>
            <w:tcW w:type="dxa" w:w="32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المقر</w:t>
            </w:r>
          </w:p>
        </w:tc>
        <w:tc>
          <w:tcPr>
            <w:tcW w:type="dxa" w:w="109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يناير 2027</w:t>
            </w:r>
          </w:p>
        </w:tc>
        <w:tc>
          <w:tcPr>
            <w:tcW w:type="dxa" w:w="15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حرج</w:t>
            </w:r>
          </w:p>
        </w:tc>
      </w:tr>
      <w:tr>
        <w:trPr>
          <w:cantSplit/>
          <w:tblHeader w:val="false"/>
        </w:trPr>
        <w:tc>
          <w:tcPr>
            <w:tcW w:type="dxa" w:w="4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32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موافقة المقر على دخول وطنكو</w:t>
            </w:r>
          </w:p>
        </w:tc>
        <w:tc>
          <w:tcPr>
            <w:tcW w:type="dxa" w:w="32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المقر</w:t>
            </w:r>
          </w:p>
        </w:tc>
        <w:tc>
          <w:tcPr>
            <w:tcW w:type="dxa" w:w="109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يناير 2027</w:t>
            </w:r>
          </w:p>
        </w:tc>
        <w:tc>
          <w:tcPr>
            <w:tcW w:type="dxa" w:w="15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حرج للتمويل</w:t>
            </w:r>
          </w:p>
        </w:tc>
      </w:tr>
      <w:tr>
        <w:trPr>
          <w:cantSplit/>
          <w:tblHeader w:val="false"/>
        </w:trPr>
        <w:tc>
          <w:tcPr>
            <w:tcW w:type="dxa" w:w="4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32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التصريح البيئي للإنشاء</w:t>
            </w:r>
          </w:p>
        </w:tc>
        <w:tc>
          <w:tcPr>
            <w:tcW w:type="dxa" w:w="32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المركز الوطني للرقابة على الالتزام البيئي</w:t>
            </w:r>
          </w:p>
        </w:tc>
        <w:tc>
          <w:tcPr>
            <w:tcW w:type="dxa" w:w="109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فوري (التحقق)</w:t>
            </w:r>
          </w:p>
        </w:tc>
        <w:tc>
          <w:tcPr>
            <w:tcW w:type="dxa" w:w="15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حرج</w:t>
            </w:r>
          </w:p>
        </w:tc>
      </w:tr>
      <w:tr>
        <w:trPr>
          <w:cantSplit/>
          <w:tblHeader w:val="false"/>
        </w:trPr>
        <w:tc>
          <w:tcPr>
            <w:tcW w:type="dxa" w:w="4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32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اعتماد الدراسة المرورية</w:t>
            </w:r>
          </w:p>
        </w:tc>
        <w:tc>
          <w:tcPr>
            <w:tcW w:type="dxa" w:w="32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الأمانة</w:t>
            </w:r>
          </w:p>
        </w:tc>
        <w:tc>
          <w:tcPr>
            <w:tcW w:type="dxa" w:w="109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مارس 2027</w:t>
            </w:r>
          </w:p>
        </w:tc>
        <w:tc>
          <w:tcPr>
            <w:tcW w:type="dxa" w:w="15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للرخص</w:t>
            </w:r>
          </w:p>
        </w:tc>
      </w:tr>
      <w:tr>
        <w:trPr>
          <w:cantSplit/>
          <w:tblHeader w:val="false"/>
        </w:trPr>
        <w:tc>
          <w:tcPr>
            <w:tcW w:type="dxa" w:w="4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32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اعتماد دراسة درء السيول</w:t>
            </w:r>
          </w:p>
        </w:tc>
        <w:tc>
          <w:tcPr>
            <w:tcW w:type="dxa" w:w="32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الأمانة</w:t>
            </w:r>
          </w:p>
        </w:tc>
        <w:tc>
          <w:tcPr>
            <w:tcW w:type="dxa" w:w="109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مارس 2027</w:t>
            </w:r>
          </w:p>
        </w:tc>
        <w:tc>
          <w:tcPr>
            <w:tcW w:type="dxa" w:w="15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للمناسيب</w:t>
            </w:r>
          </w:p>
        </w:tc>
      </w:tr>
      <w:tr>
        <w:trPr>
          <w:cantSplit/>
          <w:tblHeader w:val="false"/>
        </w:trPr>
        <w:tc>
          <w:tcPr>
            <w:tcW w:type="dxa" w:w="4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32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رخصة بناء الفندق</w:t>
            </w:r>
          </w:p>
        </w:tc>
        <w:tc>
          <w:tcPr>
            <w:tcW w:type="dxa" w:w="32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الأمانة</w:t>
            </w:r>
          </w:p>
        </w:tc>
        <w:tc>
          <w:tcPr>
            <w:tcW w:type="dxa" w:w="109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أغسطس 2027</w:t>
            </w:r>
          </w:p>
        </w:tc>
        <w:tc>
          <w:tcPr>
            <w:tcW w:type="dxa" w:w="15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حرج للمرحلة ب</w:t>
            </w:r>
          </w:p>
        </w:tc>
      </w:tr>
      <w:tr>
        <w:trPr>
          <w:cantSplit/>
          <w:tblHeader w:val="false"/>
        </w:trPr>
        <w:tc>
          <w:tcPr>
            <w:tcW w:type="dxa" w:w="4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32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اعتماد الدفاع المدني (التصاميم)</w:t>
            </w:r>
          </w:p>
        </w:tc>
        <w:tc>
          <w:tcPr>
            <w:tcW w:type="dxa" w:w="32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الدفاع المدني</w:t>
            </w:r>
          </w:p>
        </w:tc>
        <w:tc>
          <w:tcPr>
            <w:tcW w:type="dxa" w:w="109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2027</w:t>
            </w:r>
          </w:p>
        </w:tc>
        <w:tc>
          <w:tcPr>
            <w:tcW w:type="dxa" w:w="15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للتشغيل</w:t>
            </w:r>
          </w:p>
        </w:tc>
      </w:tr>
      <w:tr>
        <w:trPr>
          <w:cantSplit/>
          <w:tblHeader w:val="false"/>
        </w:trPr>
        <w:tc>
          <w:tcPr>
            <w:tcW w:type="dxa" w:w="4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32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شهادات إنجاز الدفاع المدني</w:t>
            </w:r>
          </w:p>
        </w:tc>
        <w:tc>
          <w:tcPr>
            <w:tcW w:type="dxa" w:w="32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الدفاع المدني</w:t>
            </w:r>
          </w:p>
        </w:tc>
        <w:tc>
          <w:tcPr>
            <w:tcW w:type="dxa" w:w="109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سبتمبر 2028</w:t>
            </w:r>
          </w:p>
        </w:tc>
        <w:tc>
          <w:tcPr>
            <w:tcW w:type="dxa" w:w="15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حرج للافتتاح</w:t>
            </w:r>
          </w:p>
        </w:tc>
      </w:tr>
      <w:tr>
        <w:trPr>
          <w:cantSplit/>
          <w:tblHeader w:val="false"/>
        </w:trPr>
        <w:tc>
          <w:tcPr>
            <w:tcW w:type="dxa" w:w="4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32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ترخيص مركز التجربة</w:t>
            </w:r>
          </w:p>
        </w:tc>
        <w:tc>
          <w:tcPr>
            <w:tcW w:type="dxa" w:w="32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الجهة المختصة</w:t>
            </w:r>
          </w:p>
        </w:tc>
        <w:tc>
          <w:tcPr>
            <w:tcW w:type="dxa" w:w="109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سبتمبر 2028</w:t>
            </w:r>
          </w:p>
        </w:tc>
        <w:tc>
          <w:tcPr>
            <w:tcW w:type="dxa" w:w="15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حرج للافتتاح</w:t>
            </w:r>
          </w:p>
        </w:tc>
      </w:tr>
      <w:tr>
        <w:trPr>
          <w:cantSplit/>
          <w:tblHeader w:val="false"/>
        </w:trPr>
        <w:tc>
          <w:tcPr>
            <w:tcW w:type="dxa" w:w="4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32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التصريح البيئي للتشغيل</w:t>
            </w:r>
          </w:p>
        </w:tc>
        <w:tc>
          <w:tcPr>
            <w:tcW w:type="dxa" w:w="32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المركز الوطني</w:t>
            </w:r>
          </w:p>
        </w:tc>
        <w:tc>
          <w:tcPr>
            <w:tcW w:type="dxa" w:w="109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سبتمبر 2028</w:t>
            </w:r>
          </w:p>
        </w:tc>
        <w:tc>
          <w:tcPr>
            <w:tcW w:type="dxa" w:w="15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للافتتاح</w:t>
            </w:r>
          </w:p>
        </w:tc>
      </w:tr>
      <w:tr>
        <w:trPr>
          <w:cantSplit/>
          <w:tblHeader w:val="false"/>
        </w:trPr>
        <w:tc>
          <w:tcPr>
            <w:tcW w:type="dxa" w:w="47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11</w:t>
            </w:r>
          </w:p>
        </w:tc>
        <w:tc>
          <w:tcPr>
            <w:tcW w:type="dxa" w:w="32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ترخيص الفندق</w:t>
            </w:r>
          </w:p>
        </w:tc>
        <w:tc>
          <w:tcPr>
            <w:tcW w:type="dxa" w:w="32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وزارة السياحة</w:t>
            </w:r>
          </w:p>
        </w:tc>
        <w:tc>
          <w:tcPr>
            <w:tcW w:type="dxa" w:w="109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مايو 2029</w:t>
            </w:r>
          </w:p>
        </w:tc>
        <w:tc>
          <w:tcPr>
            <w:tcW w:type="dxa" w:w="156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للمرحلة ب</w:t>
            </w:r>
          </w:p>
        </w:tc>
      </w:tr>
    </w:tbl>
    <w:p>
      <w:pPr>
        <w:bidi/>
        <w:spacing w:after="60" w:before="0" w:line="300"/>
        <w:jc w:val="start"/>
      </w:pP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13. الاختبار والتشغيل التجريبي والتسليم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65"/>
        <w:gridCol w:w="5852"/>
        <w:gridCol w:w="1721"/>
      </w:tblGrid>
      <w:tr>
        <w:trPr>
          <w:cantSplit/>
          <w:tblHeader/>
        </w:trPr>
        <w:tc>
          <w:tcPr>
            <w:tcW w:type="dxa" w:w="20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المرحلة</w:t>
            </w:r>
          </w:p>
        </w:tc>
        <w:tc>
          <w:tcPr>
            <w:tcW w:type="dxa" w:w="585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النشاط</w:t>
            </w:r>
          </w:p>
        </w:tc>
        <w:tc>
          <w:tcPr>
            <w:tcW w:type="dxa" w:w="172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التوقيت</w:t>
            </w:r>
          </w:p>
        </w:tc>
      </w:tr>
      <w:tr>
        <w:trPr>
          <w:cantSplit/>
          <w:tblHeader w:val="false"/>
        </w:trPr>
        <w:tc>
          <w:tcPr>
            <w:tcW w:type="dxa" w:w="20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الاختبار الأولي</w:t>
            </w:r>
          </w:p>
        </w:tc>
        <w:tc>
          <w:tcPr>
            <w:tcW w:type="dxa" w:w="585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اختبار المعدات منفردة</w:t>
            </w:r>
          </w:p>
        </w:tc>
        <w:tc>
          <w:tcPr>
            <w:tcW w:type="dxa" w:w="172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يونيو – يوليو 2028</w:t>
            </w:r>
          </w:p>
        </w:tc>
      </w:tr>
      <w:tr>
        <w:trPr>
          <w:cantSplit/>
          <w:tblHeader w:val="false"/>
        </w:trPr>
        <w:tc>
          <w:tcPr>
            <w:tcW w:type="dxa" w:w="20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التشغيل التجريبي للأنظمة</w:t>
            </w:r>
          </w:p>
        </w:tc>
        <w:tc>
          <w:tcPr>
            <w:tcW w:type="dxa" w:w="585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الأنظمة متكاملة: التبريد، والكهرباء، والحريق، والأمن، وإدارة المباني</w:t>
            </w:r>
          </w:p>
        </w:tc>
        <w:tc>
          <w:tcPr>
            <w:tcW w:type="dxa" w:w="172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يوليو – أغسطس 2028</w:t>
            </w:r>
          </w:p>
        </w:tc>
      </w:tr>
      <w:tr>
        <w:trPr>
          <w:cantSplit/>
          <w:tblHeader w:val="false"/>
        </w:trPr>
        <w:tc>
          <w:tcPr>
            <w:tcW w:type="dxa" w:w="20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الاختبار المتكامل</w:t>
            </w:r>
          </w:p>
        </w:tc>
        <w:tc>
          <w:tcPr>
            <w:tcW w:type="dxa" w:w="585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سيناريوهات الحريق والطوارئ وانقطاع الكهرباء</w:t>
            </w:r>
          </w:p>
        </w:tc>
        <w:tc>
          <w:tcPr>
            <w:tcW w:type="dxa" w:w="172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أغسطس 2028</w:t>
            </w:r>
          </w:p>
        </w:tc>
      </w:tr>
      <w:tr>
        <w:trPr>
          <w:cantSplit/>
          <w:tblHeader w:val="false"/>
        </w:trPr>
        <w:tc>
          <w:tcPr>
            <w:tcW w:type="dxa" w:w="20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محتوى المركز</w:t>
            </w:r>
          </w:p>
        </w:tc>
        <w:tc>
          <w:tcPr>
            <w:tcW w:type="dxa" w:w="585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اختبار العروض والتشغيل بزوار تجريبيين</w:t>
            </w:r>
          </w:p>
        </w:tc>
        <w:tc>
          <w:tcPr>
            <w:tcW w:type="dxa" w:w="172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سبتمبر 2028</w:t>
            </w:r>
          </w:p>
        </w:tc>
      </w:tr>
      <w:tr>
        <w:trPr>
          <w:cantSplit/>
          <w:tblHeader w:val="false"/>
        </w:trPr>
        <w:tc>
          <w:tcPr>
            <w:tcW w:type="dxa" w:w="20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الاستلام الابتدائي</w:t>
            </w:r>
          </w:p>
        </w:tc>
        <w:tc>
          <w:tcPr>
            <w:tcW w:type="dxa" w:w="585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قوائم الملاحظات، والشهادات</w:t>
            </w:r>
          </w:p>
        </w:tc>
        <w:tc>
          <w:tcPr>
            <w:tcW w:type="dxa" w:w="172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سبتمبر – أكتوبر 2028</w:t>
            </w:r>
          </w:p>
        </w:tc>
      </w:tr>
      <w:tr>
        <w:trPr>
          <w:cantSplit/>
          <w:tblHeader w:val="false"/>
        </w:trPr>
        <w:tc>
          <w:tcPr>
            <w:tcW w:type="dxa" w:w="20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الافتتاح التجريبي</w:t>
            </w:r>
          </w:p>
        </w:tc>
        <w:tc>
          <w:tcPr>
            <w:tcW w:type="dxa" w:w="585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تشغيل كامل بطاقة محدودة</w:t>
            </w:r>
          </w:p>
        </w:tc>
        <w:tc>
          <w:tcPr>
            <w:tcW w:type="dxa" w:w="172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أكتوبر 2028</w:t>
            </w:r>
          </w:p>
        </w:tc>
      </w:tr>
      <w:tr>
        <w:trPr>
          <w:cantSplit/>
          <w:tblHeader w:val="false"/>
        </w:trPr>
        <w:tc>
          <w:tcPr>
            <w:tcW w:type="dxa" w:w="206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فترة الصيانة</w:t>
            </w:r>
          </w:p>
        </w:tc>
        <w:tc>
          <w:tcPr>
            <w:tcW w:type="dxa" w:w="585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سنة من الاستلام الابتدائي</w:t>
            </w:r>
          </w:p>
        </w:tc>
        <w:tc>
          <w:tcPr>
            <w:tcW w:type="dxa" w:w="172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2028 – 2029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13.1 وثائق التسليم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3"/>
        <w:gridCol w:w="4035"/>
      </w:tblGrid>
      <w:tr>
        <w:trPr>
          <w:cantSplit/>
          <w:tblHeader/>
        </w:trPr>
        <w:tc>
          <w:tcPr>
            <w:tcW w:type="dxa" w:w="5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الوثيقة</w:t>
            </w:r>
          </w:p>
        </w:tc>
        <w:tc>
          <w:tcPr>
            <w:tcW w:type="dxa" w:w="403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الاستخدام</w:t>
            </w:r>
          </w:p>
        </w:tc>
      </w:tr>
      <w:tr>
        <w:trPr>
          <w:cantSplit/>
          <w:tblHeader w:val="false"/>
        </w:trPr>
        <w:tc>
          <w:tcPr>
            <w:tcW w:type="dxa" w:w="5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مخططات التنفيذ الفعلي</w:t>
            </w:r>
          </w:p>
        </w:tc>
        <w:tc>
          <w:tcPr>
            <w:tcW w:type="dxa" w:w="403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الصيانة والتعديلات</w:t>
            </w:r>
          </w:p>
        </w:tc>
      </w:tr>
      <w:tr>
        <w:trPr>
          <w:cantSplit/>
          <w:tblHeader w:val="false"/>
        </w:trPr>
        <w:tc>
          <w:tcPr>
            <w:tcW w:type="dxa" w:w="5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أدلة التشغيل والصيانة</w:t>
            </w:r>
          </w:p>
        </w:tc>
        <w:tc>
          <w:tcPr>
            <w:tcW w:type="dxa" w:w="403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فرق التشغيل</w:t>
            </w:r>
          </w:p>
        </w:tc>
      </w:tr>
      <w:tr>
        <w:trPr>
          <w:cantSplit/>
          <w:tblHeader w:val="false"/>
        </w:trPr>
        <w:tc>
          <w:tcPr>
            <w:tcW w:type="dxa" w:w="5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سجل الأصول المرمّز</w:t>
            </w:r>
          </w:p>
        </w:tc>
        <w:tc>
          <w:tcPr>
            <w:tcW w:type="dxa" w:w="403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نظام إدارة المرافق</w:t>
            </w:r>
          </w:p>
        </w:tc>
      </w:tr>
      <w:tr>
        <w:trPr>
          <w:cantSplit/>
          <w:tblHeader w:val="false"/>
        </w:trPr>
        <w:tc>
          <w:tcPr>
            <w:tcW w:type="dxa" w:w="5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شهادات الاختبار والضمانات</w:t>
            </w:r>
          </w:p>
        </w:tc>
        <w:tc>
          <w:tcPr>
            <w:tcW w:type="dxa" w:w="403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التأمين والصيانة</w:t>
            </w:r>
          </w:p>
        </w:tc>
      </w:tr>
      <w:tr>
        <w:trPr>
          <w:cantSplit/>
          <w:tblHeader w:val="false"/>
        </w:trPr>
        <w:tc>
          <w:tcPr>
            <w:tcW w:type="dxa" w:w="5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قطع الغيار للسنة الأولى</w:t>
            </w:r>
          </w:p>
        </w:tc>
        <w:tc>
          <w:tcPr>
            <w:tcW w:type="dxa" w:w="403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الاستمرارية</w:t>
            </w:r>
          </w:p>
        </w:tc>
      </w:tr>
      <w:tr>
        <w:trPr>
          <w:cantSplit/>
          <w:tblHeader w:val="false"/>
        </w:trPr>
        <w:tc>
          <w:tcPr>
            <w:tcW w:type="dxa" w:w="5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سجلات التدريب</w:t>
            </w:r>
          </w:p>
        </w:tc>
        <w:tc>
          <w:tcPr>
            <w:tcW w:type="dxa" w:w="403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المشغلون</w:t>
            </w:r>
          </w:p>
        </w:tc>
      </w:tr>
    </w:tbl>
    <w:p>
      <w:pPr>
        <w:bidi/>
        <w:spacing w:after="60" w:before="0" w:line="300"/>
        <w:jc w:val="start"/>
      </w:pP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14. الصحة والسلامة والبيئة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rPr>
          <w:cantSplit/>
          <w:tblHeader/>
        </w:trPr>
        <w:tc>
          <w:tcPr>
            <w:tcW w:type="dxa" w:w="28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العنصر</w:t>
            </w:r>
          </w:p>
        </w:tc>
        <w:tc>
          <w:tcPr>
            <w:tcW w:type="dxa" w:w="674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المتطلب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خطة الصحة والسلامة للموقع</w:t>
            </w:r>
          </w:p>
        </w:tc>
        <w:tc>
          <w:tcPr>
            <w:tcW w:type="dxa" w:w="674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يقدمها المقاول، ويعتمدها الاستشاري قبل استئناف الأعمال الرئيسية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مسؤول سلامة متفرغ</w:t>
            </w:r>
          </w:p>
        </w:tc>
        <w:tc>
          <w:tcPr>
            <w:tcW w:type="dxa" w:w="674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في الموقع طوال التنفيذ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تصاريح العمل</w:t>
            </w:r>
          </w:p>
        </w:tc>
        <w:tc>
          <w:tcPr>
            <w:tcW w:type="dxa" w:w="674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للأعمال الخطرة: المرتفعات، والحفر، والكهرباء، والرفع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خطة الإدارة البيئية للإنشاء</w:t>
            </w:r>
          </w:p>
        </w:tc>
        <w:tc>
          <w:tcPr>
            <w:tcW w:type="dxa" w:w="674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الغبار، والضوضاء، والنفايات (الدراسة 8)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خطة طوارئ السيول</w:t>
            </w:r>
          </w:p>
        </w:tc>
        <w:tc>
          <w:tcPr>
            <w:tcW w:type="dxa" w:w="674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قبل موسم الأمطار (الدراسة 9)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التأمين</w:t>
            </w:r>
          </w:p>
        </w:tc>
        <w:tc>
          <w:tcPr>
            <w:tcW w:type="dxa" w:w="674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تأمين شامل للأعمال يشمل السيول، ومسؤولية تجاه الغير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التسوير واللوحات</w:t>
            </w:r>
          </w:p>
        </w:tc>
        <w:tc>
          <w:tcPr>
            <w:tcW w:type="dxa" w:w="674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فوري (طلب الاستشاري المعلق منذ 22 أغسطس)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التقارير</w:t>
            </w:r>
          </w:p>
        </w:tc>
        <w:tc>
          <w:tcPr>
            <w:tcW w:type="dxa" w:w="6747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شهرية، مع التحقيق في كل حادث</w:t>
            </w:r>
          </w:p>
        </w:tc>
      </w:tr>
    </w:tbl>
    <w:p>
      <w:pPr>
        <w:bidi/>
        <w:spacing w:after="60" w:before="0" w:line="300"/>
        <w:jc w:val="start"/>
      </w:pP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15. الاجتماعات والتقارير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5"/>
        <w:gridCol w:w="1584"/>
        <w:gridCol w:w="5149"/>
      </w:tblGrid>
      <w:tr>
        <w:trPr>
          <w:cantSplit/>
          <w:tblHeader/>
        </w:trPr>
        <w:tc>
          <w:tcPr>
            <w:tcW w:type="dxa" w:w="2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الاجتماع / التقرير</w:t>
            </w:r>
          </w:p>
        </w:tc>
        <w:tc>
          <w:tcPr>
            <w:tcW w:type="dxa" w:w="15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الدورية</w:t>
            </w:r>
          </w:p>
        </w:tc>
        <w:tc>
          <w:tcPr>
            <w:tcW w:type="dxa" w:w="51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الحضور / المتلقي</w:t>
            </w:r>
          </w:p>
        </w:tc>
      </w:tr>
      <w:tr>
        <w:trPr>
          <w:cantSplit/>
          <w:tblHeader w:val="false"/>
        </w:trPr>
        <w:tc>
          <w:tcPr>
            <w:tcW w:type="dxa" w:w="2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اجتماع الموقع التنسيقي</w:t>
            </w:r>
          </w:p>
        </w:tc>
        <w:tc>
          <w:tcPr>
            <w:tcW w:type="dxa" w:w="15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أسبوعي</w:t>
            </w:r>
          </w:p>
        </w:tc>
        <w:tc>
          <w:tcPr>
            <w:tcW w:type="dxa" w:w="51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المقاول، والاستشاري، ومدير المشروع</w:t>
            </w:r>
          </w:p>
        </w:tc>
      </w:tr>
      <w:tr>
        <w:trPr>
          <w:cantSplit/>
          <w:tblHeader w:val="false"/>
        </w:trPr>
        <w:tc>
          <w:tcPr>
            <w:tcW w:type="dxa" w:w="2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اجتماع التقدم</w:t>
            </w:r>
          </w:p>
        </w:tc>
        <w:tc>
          <w:tcPr>
            <w:tcW w:type="dxa" w:w="15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شهري</w:t>
            </w:r>
          </w:p>
        </w:tc>
        <w:tc>
          <w:tcPr>
            <w:tcW w:type="dxa" w:w="51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الأعلاه + شركة المشروع</w:t>
            </w:r>
          </w:p>
        </w:tc>
      </w:tr>
      <w:tr>
        <w:trPr>
          <w:cantSplit/>
          <w:tblHeader w:val="false"/>
        </w:trPr>
        <w:tc>
          <w:tcPr>
            <w:tcW w:type="dxa" w:w="2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اجتماع لجنة التطوير</w:t>
            </w:r>
          </w:p>
        </w:tc>
        <w:tc>
          <w:tcPr>
            <w:tcW w:type="dxa" w:w="15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شهري</w:t>
            </w:r>
          </w:p>
        </w:tc>
        <w:tc>
          <w:tcPr>
            <w:tcW w:type="dxa" w:w="51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لجنة التطوير، والاستشاري، ومكتب الكميات</w:t>
            </w:r>
          </w:p>
        </w:tc>
      </w:tr>
      <w:tr>
        <w:trPr>
          <w:cantSplit/>
          <w:tblHeader w:val="false"/>
        </w:trPr>
        <w:tc>
          <w:tcPr>
            <w:tcW w:type="dxa" w:w="2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تقرير التقدم الشهري</w:t>
            </w:r>
          </w:p>
        </w:tc>
        <w:tc>
          <w:tcPr>
            <w:tcW w:type="dxa" w:w="15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شهري</w:t>
            </w:r>
          </w:p>
        </w:tc>
        <w:tc>
          <w:tcPr>
            <w:tcW w:type="dxa" w:w="51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مجلس المديرين</w:t>
            </w:r>
          </w:p>
        </w:tc>
      </w:tr>
      <w:tr>
        <w:trPr>
          <w:cantSplit/>
          <w:tblHeader w:val="false"/>
        </w:trPr>
        <w:tc>
          <w:tcPr>
            <w:tcW w:type="dxa" w:w="2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تقرير التكلفة الشهري</w:t>
            </w:r>
          </w:p>
        </w:tc>
        <w:tc>
          <w:tcPr>
            <w:tcW w:type="dxa" w:w="15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شهري</w:t>
            </w:r>
          </w:p>
        </w:tc>
        <w:tc>
          <w:tcPr>
            <w:tcW w:type="dxa" w:w="51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لجنة التطوير</w:t>
            </w:r>
          </w:p>
        </w:tc>
      </w:tr>
      <w:tr>
        <w:trPr>
          <w:cantSplit/>
          <w:tblHeader w:val="false"/>
        </w:trPr>
        <w:tc>
          <w:tcPr>
            <w:tcW w:type="dxa" w:w="2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تقرير المخاطر</w:t>
            </w:r>
          </w:p>
        </w:tc>
        <w:tc>
          <w:tcPr>
            <w:tcW w:type="dxa" w:w="15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ربع سنوي</w:t>
            </w:r>
          </w:p>
        </w:tc>
        <w:tc>
          <w:tcPr>
            <w:tcW w:type="dxa" w:w="51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لجنة المراجعة والمخاطر</w:t>
            </w:r>
          </w:p>
        </w:tc>
      </w:tr>
      <w:tr>
        <w:trPr>
          <w:cantSplit/>
          <w:tblHeader w:val="false"/>
        </w:trPr>
        <w:tc>
          <w:tcPr>
            <w:tcW w:type="dxa" w:w="29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اجتماع المشغلين</w:t>
            </w:r>
          </w:p>
        </w:tc>
        <w:tc>
          <w:tcPr>
            <w:tcW w:type="dxa" w:w="1584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شهري من 2027</w:t>
            </w:r>
          </w:p>
        </w:tc>
        <w:tc>
          <w:tcPr>
            <w:tcW w:type="dxa" w:w="514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IHG، وMidwam، ومدير المشروع</w:t>
            </w:r>
          </w:p>
        </w:tc>
      </w:tr>
    </w:tbl>
    <w:p>
      <w:pPr>
        <w:bidi/>
        <w:spacing w:after="60" w:before="0" w:line="300"/>
        <w:jc w:val="start"/>
      </w:pPr>
    </w:p>
    <w:p>
      <w:pPr>
        <w:bidi/>
        <w:spacing w:after="110" w:before="0" w:line="300"/>
        <w:jc w:val="star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قاعدة المحاضر:</w:t>
      </w:r>
      <w:r>
        <w:rPr>
          <w:rFonts w:ascii="Arial" w:cs="Arial" w:eastAsia="Arial" w:hAnsi="Arial"/>
          <w:sz w:val="21"/>
          <w:szCs w:val="21"/>
          <w:rtl/>
        </w:rPr>
        <w:t xml:space="preserve"> كل محضر يُرسل خلال 3 أيام عمل، ويُعتمد ما لم يُعترض عليه خطياً خلال 5 أيام عمل، مع </w:t>
      </w: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حق كل طرف في إرفاق تحفظاته</w:t>
      </w:r>
      <w:r>
        <w:rPr>
          <w:rFonts w:ascii="Arial" w:cs="Arial" w:eastAsia="Arial" w:hAnsi="Arial"/>
          <w:sz w:val="21"/>
          <w:szCs w:val="21"/>
          <w:rtl/>
        </w:rPr>
        <w:t xml:space="preserve">. (المهلة الحالية يومان، وهي قصيرة وكانت سبب الخلاف على المحضر 4.)</w:t>
      </w: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16. مخاطر التنفيذ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3"/>
        <w:gridCol w:w="3413"/>
        <w:gridCol w:w="1305"/>
        <w:gridCol w:w="602"/>
        <w:gridCol w:w="3715"/>
      </w:tblGrid>
      <w:tr>
        <w:trPr>
          <w:cantSplit/>
          <w:tblHeader/>
        </w:trPr>
        <w:tc>
          <w:tcPr>
            <w:tcW w:type="dxa" w:w="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34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الخطر</w:t>
            </w:r>
          </w:p>
        </w:tc>
        <w:tc>
          <w:tcPr>
            <w:tcW w:type="dxa" w:w="13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الاحتمال</w:t>
            </w:r>
          </w:p>
        </w:tc>
        <w:tc>
          <w:tcPr>
            <w:tcW w:type="dxa" w:w="6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الأثر</w:t>
            </w:r>
          </w:p>
        </w:tc>
        <w:tc>
          <w:tcPr>
            <w:tcW w:type="dxa" w:w="371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الاستجابة</w:t>
            </w:r>
          </w:p>
        </w:tc>
      </w:tr>
      <w:tr>
        <w:trPr>
          <w:cantSplit/>
          <w:tblHeader w:val="false"/>
        </w:trPr>
        <w:tc>
          <w:tcPr>
            <w:tcW w:type="dxa" w:w="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34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عدم صدور ملحق المقر قبل أبريل 2028</w:t>
            </w:r>
          </w:p>
        </w:tc>
        <w:tc>
          <w:tcPr>
            <w:tcW w:type="dxa" w:w="13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متوسط</w:t>
            </w:r>
          </w:p>
        </w:tc>
        <w:tc>
          <w:tcPr>
            <w:tcW w:type="dxa" w:w="6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حرج</w:t>
            </w:r>
          </w:p>
        </w:tc>
        <w:tc>
          <w:tcPr>
            <w:tcW w:type="dxa" w:w="371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الخيار د في الفصل 6</w:t>
            </w:r>
          </w:p>
        </w:tc>
      </w:tr>
      <w:tr>
        <w:trPr>
          <w:cantSplit/>
          <w:tblHeader w:val="false"/>
        </w:trPr>
        <w:tc>
          <w:tcPr>
            <w:tcW w:type="dxa" w:w="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34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استمرار الخلاف بين الشريكين</w:t>
            </w:r>
          </w:p>
        </w:tc>
        <w:tc>
          <w:tcPr>
            <w:tcW w:type="dxa" w:w="13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مرتفع</w:t>
            </w:r>
          </w:p>
        </w:tc>
        <w:tc>
          <w:tcPr>
            <w:tcW w:type="dxa" w:w="6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حرج</w:t>
            </w:r>
          </w:p>
        </w:tc>
        <w:tc>
          <w:tcPr>
            <w:tcW w:type="dxa" w:w="371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الدراسة 10، وآلية تصعيد</w:t>
            </w:r>
          </w:p>
        </w:tc>
      </w:tr>
      <w:tr>
        <w:trPr>
          <w:cantSplit/>
          <w:tblHeader w:val="false"/>
        </w:trPr>
        <w:tc>
          <w:tcPr>
            <w:tcW w:type="dxa" w:w="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34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تأخر التمويل الرئيسي</w:t>
            </w:r>
          </w:p>
        </w:tc>
        <w:tc>
          <w:tcPr>
            <w:tcW w:type="dxa" w:w="13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متوسط</w:t>
            </w:r>
          </w:p>
        </w:tc>
        <w:tc>
          <w:tcPr>
            <w:tcW w:type="dxa" w:w="6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مرتفع</w:t>
            </w:r>
          </w:p>
        </w:tc>
        <w:tc>
          <w:tcPr>
            <w:tcW w:type="dxa" w:w="371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ربطه بخطوات الهيكلة، وخطاب الممول</w:t>
            </w:r>
          </w:p>
        </w:tc>
      </w:tr>
      <w:tr>
        <w:trPr>
          <w:cantSplit/>
          <w:tblHeader w:val="false"/>
        </w:trPr>
        <w:tc>
          <w:tcPr>
            <w:tcW w:type="dxa" w:w="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34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فجوة التكلفة (580–630 مقابل 495)</w:t>
            </w:r>
          </w:p>
        </w:tc>
        <w:tc>
          <w:tcPr>
            <w:tcW w:type="dxa" w:w="13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متوسط</w:t>
            </w:r>
          </w:p>
        </w:tc>
        <w:tc>
          <w:tcPr>
            <w:tcW w:type="dxa" w:w="6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مرتفع</w:t>
            </w:r>
          </w:p>
        </w:tc>
        <w:tc>
          <w:tcPr>
            <w:tcW w:type="dxa" w:w="371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المطابقة والهندسة القيمية (الدراسة 6)</w:t>
            </w:r>
          </w:p>
        </w:tc>
      </w:tr>
      <w:tr>
        <w:trPr>
          <w:cantSplit/>
          <w:tblHeader w:val="false"/>
        </w:trPr>
        <w:tc>
          <w:tcPr>
            <w:tcW w:type="dxa" w:w="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34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تأخر محتوى المركز</w:t>
            </w:r>
          </w:p>
        </w:tc>
        <w:tc>
          <w:tcPr>
            <w:tcW w:type="dxa" w:w="13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متوسط</w:t>
            </w:r>
          </w:p>
        </w:tc>
        <w:tc>
          <w:tcPr>
            <w:tcW w:type="dxa" w:w="6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مرتفع</w:t>
            </w:r>
          </w:p>
        </w:tc>
        <w:tc>
          <w:tcPr>
            <w:tcW w:type="dxa" w:w="371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تعاقد مبكر مع Midwam</w:t>
            </w:r>
          </w:p>
        </w:tc>
      </w:tr>
      <w:tr>
        <w:trPr>
          <w:cantSplit/>
          <w:tblHeader w:val="false"/>
        </w:trPr>
        <w:tc>
          <w:tcPr>
            <w:tcW w:type="dxa" w:w="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34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تأخر توصيل الكهرباء</w:t>
            </w:r>
          </w:p>
        </w:tc>
        <w:tc>
          <w:tcPr>
            <w:tcW w:type="dxa" w:w="13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متوسط</w:t>
            </w:r>
          </w:p>
        </w:tc>
        <w:tc>
          <w:tcPr>
            <w:tcW w:type="dxa" w:w="6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مرتفع</w:t>
            </w:r>
          </w:p>
        </w:tc>
        <w:tc>
          <w:tcPr>
            <w:tcW w:type="dxa" w:w="371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طلب مبكر لدى شركة الكهرباء</w:t>
            </w:r>
          </w:p>
        </w:tc>
      </w:tr>
      <w:tr>
        <w:trPr>
          <w:cantSplit/>
          <w:tblHeader w:val="false"/>
        </w:trPr>
        <w:tc>
          <w:tcPr>
            <w:tcW w:type="dxa" w:w="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34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سيول أثناء التنفيذ</w:t>
            </w:r>
          </w:p>
        </w:tc>
        <w:tc>
          <w:tcPr>
            <w:tcW w:type="dxa" w:w="13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منخفض – متوسط</w:t>
            </w:r>
          </w:p>
        </w:tc>
        <w:tc>
          <w:tcPr>
            <w:tcW w:type="dxa" w:w="6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متوسط</w:t>
            </w:r>
          </w:p>
        </w:tc>
        <w:tc>
          <w:tcPr>
            <w:tcW w:type="dxa" w:w="371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تأمين، وتصريف مؤقت، وخطة طوارئ</w:t>
            </w:r>
          </w:p>
        </w:tc>
      </w:tr>
      <w:tr>
        <w:trPr>
          <w:cantSplit/>
          <w:tblHeader w:val="false"/>
        </w:trPr>
        <w:tc>
          <w:tcPr>
            <w:tcW w:type="dxa" w:w="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34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نقص العمالة الماهرة</w:t>
            </w:r>
          </w:p>
        </w:tc>
        <w:tc>
          <w:tcPr>
            <w:tcW w:type="dxa" w:w="13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متوسط</w:t>
            </w:r>
          </w:p>
        </w:tc>
        <w:tc>
          <w:tcPr>
            <w:tcW w:type="dxa" w:w="6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متوسط</w:t>
            </w:r>
          </w:p>
        </w:tc>
        <w:tc>
          <w:tcPr>
            <w:tcW w:type="dxa" w:w="371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خطة موارد مع المقاول</w:t>
            </w:r>
          </w:p>
        </w:tc>
      </w:tr>
      <w:tr>
        <w:trPr>
          <w:cantSplit/>
          <w:tblHeader w:val="false"/>
        </w:trPr>
        <w:tc>
          <w:tcPr>
            <w:tcW w:type="dxa" w:w="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34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تأخر رخصة الفندق</w:t>
            </w:r>
          </w:p>
        </w:tc>
        <w:tc>
          <w:tcPr>
            <w:tcW w:type="dxa" w:w="13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متوسط</w:t>
            </w:r>
          </w:p>
        </w:tc>
        <w:tc>
          <w:tcPr>
            <w:tcW w:type="dxa" w:w="6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متوسط</w:t>
            </w:r>
          </w:p>
        </w:tc>
        <w:tc>
          <w:tcPr>
            <w:tcW w:type="dxa" w:w="371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فصل مسار الفندق</w:t>
            </w:r>
          </w:p>
        </w:tc>
      </w:tr>
      <w:tr>
        <w:trPr>
          <w:cantSplit/>
          <w:tblHeader w:val="false"/>
        </w:trPr>
        <w:tc>
          <w:tcPr>
            <w:tcW w:type="dxa" w:w="60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3413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تغييرات المشغلين في التصميم</w:t>
            </w:r>
          </w:p>
        </w:tc>
        <w:tc>
          <w:tcPr>
            <w:tcW w:type="dxa" w:w="130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متوسط</w:t>
            </w:r>
          </w:p>
        </w:tc>
        <w:tc>
          <w:tcPr>
            <w:tcW w:type="dxa" w:w="60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متوسط</w:t>
            </w:r>
          </w:p>
        </w:tc>
        <w:tc>
          <w:tcPr>
            <w:tcW w:type="dxa" w:w="3715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تجميد التصميم بعد اعتمادهم</w:t>
            </w:r>
          </w:p>
        </w:tc>
      </w:tr>
    </w:tbl>
    <w:p>
      <w:pPr>
        <w:bidi/>
        <w:spacing w:after="60" w:before="0" w:line="300"/>
        <w:jc w:val="start"/>
      </w:pPr>
    </w:p>
    <w:p>
      <w:r>
        <w:br w:type="page"/>
      </w:r>
    </w:p>
    <w:p>
      <w:pPr>
        <w:pStyle w:val="Heading1"/>
        <w:keepNext/>
        <w:pBdr>
          <w:bottom w:val="single" w:color="8C7A5B" w:sz="18" w:space="6"/>
        </w:pBdr>
        <w:bidi/>
        <w:spacing w:after="200" w:before="0" w:line="300"/>
        <w:jc w:val="start"/>
      </w:pPr>
      <w:r>
        <w:rPr>
          <w:rFonts w:ascii="Arial" w:cs="Arial" w:eastAsia="Arial" w:hAnsi="Arial"/>
          <w:b/>
          <w:bCs/>
          <w:color w:val="1F3A5F"/>
          <w:sz w:val="34"/>
          <w:szCs w:val="34"/>
          <w:rtl/>
        </w:rPr>
        <w:t xml:space="preserve">17. خطة الـ90 يوماً الأولى</w:t>
      </w: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17.1 خلال 14 يوماً (تصحيح وضع الموقع)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99"/>
        <w:gridCol w:w="888"/>
        <w:gridCol w:w="3551"/>
      </w:tblGrid>
      <w:tr>
        <w:trPr>
          <w:cantSplit/>
          <w:tblHeader/>
        </w:trPr>
        <w:tc>
          <w:tcPr>
            <w:tcW w:type="dxa" w:w="519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الإجراء</w:t>
            </w:r>
          </w:p>
        </w:tc>
        <w:tc>
          <w:tcPr>
            <w:tcW w:type="dxa" w:w="88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المسؤول</w:t>
            </w:r>
          </w:p>
        </w:tc>
        <w:tc>
          <w:tcPr>
            <w:tcW w:type="dxa" w:w="35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المرجع</w:t>
            </w:r>
          </w:p>
        </w:tc>
      </w:tr>
      <w:tr>
        <w:trPr>
          <w:cantSplit/>
          <w:tblHeader w:val="false"/>
        </w:trPr>
        <w:tc>
          <w:tcPr>
            <w:tcW w:type="dxa" w:w="519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تسوير الموقع واللوحات</w:t>
            </w:r>
          </w:p>
        </w:tc>
        <w:tc>
          <w:tcPr>
            <w:tcW w:type="dxa" w:w="88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</w:t>
            </w:r>
          </w:p>
        </w:tc>
        <w:tc>
          <w:tcPr>
            <w:tcW w:type="dxa" w:w="35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طلب الاستشاري (22 أغسطس)</w:t>
            </w:r>
          </w:p>
        </w:tc>
      </w:tr>
      <w:tr>
        <w:trPr>
          <w:cantSplit/>
          <w:tblHeader w:val="false"/>
        </w:trPr>
        <w:tc>
          <w:tcPr>
            <w:tcW w:type="dxa" w:w="519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الهيكل التنظيمي ومصفوفة المسؤوليات للموقع</w:t>
            </w:r>
          </w:p>
        </w:tc>
        <w:tc>
          <w:tcPr>
            <w:tcW w:type="dxa" w:w="88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</w:t>
            </w:r>
          </w:p>
        </w:tc>
        <w:tc>
          <w:tcPr>
            <w:tcW w:type="dxa" w:w="35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طلب الاستشاري (22 أغسطس)</w:t>
            </w:r>
          </w:p>
        </w:tc>
      </w:tr>
      <w:tr>
        <w:trPr>
          <w:cantSplit/>
          <w:tblHeader w:val="false"/>
        </w:trPr>
        <w:tc>
          <w:tcPr>
            <w:tcW w:type="dxa" w:w="519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استبدال المساح بمساح معتمد</w:t>
            </w:r>
          </w:p>
        </w:tc>
        <w:tc>
          <w:tcPr>
            <w:tcW w:type="dxa" w:w="88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</w:t>
            </w:r>
          </w:p>
        </w:tc>
        <w:tc>
          <w:tcPr>
            <w:tcW w:type="dxa" w:w="35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طلب الاستشاري (13 سبتمبر)</w:t>
            </w:r>
          </w:p>
        </w:tc>
      </w:tr>
      <w:tr>
        <w:trPr>
          <w:cantSplit/>
          <w:tblHeader w:val="false"/>
        </w:trPr>
        <w:tc>
          <w:tcPr>
            <w:tcW w:type="dxa" w:w="519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بدء أعمال الخرسانة للمبنيين 4 و8</w:t>
            </w:r>
          </w:p>
        </w:tc>
        <w:tc>
          <w:tcPr>
            <w:tcW w:type="dxa" w:w="88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</w:t>
            </w:r>
          </w:p>
        </w:tc>
        <w:tc>
          <w:tcPr>
            <w:tcW w:type="dxa" w:w="35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المخططات المعتمدة (3 سبتمبر)</w:t>
            </w:r>
          </w:p>
        </w:tc>
      </w:tr>
      <w:tr>
        <w:trPr>
          <w:cantSplit/>
          <w:tblHeader w:val="false"/>
        </w:trPr>
        <w:tc>
          <w:tcPr>
            <w:tcW w:type="dxa" w:w="519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تجديد التأمين الشامل للأعمال</w:t>
            </w:r>
          </w:p>
        </w:tc>
        <w:tc>
          <w:tcPr>
            <w:tcW w:type="dxa" w:w="88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</w:t>
            </w:r>
          </w:p>
        </w:tc>
        <w:tc>
          <w:tcPr>
            <w:tcW w:type="dxa" w:w="35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منتهٍ منذ مارس 2026</w:t>
            </w:r>
          </w:p>
        </w:tc>
      </w:tr>
      <w:tr>
        <w:trPr>
          <w:cantSplit/>
          <w:tblHeader w:val="false"/>
        </w:trPr>
        <w:tc>
          <w:tcPr>
            <w:tcW w:type="dxa" w:w="5199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خطة السلامة والإدارة البيئية للموقع</w:t>
            </w:r>
          </w:p>
        </w:tc>
        <w:tc>
          <w:tcPr>
            <w:tcW w:type="dxa" w:w="88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</w:t>
            </w:r>
          </w:p>
        </w:tc>
        <w:tc>
          <w:tcPr>
            <w:tcW w:type="dxa" w:w="3551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الدراستان 8 و10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17.2 خلال 30 يوماً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78"/>
        <w:gridCol w:w="3160"/>
      </w:tblGrid>
      <w:tr>
        <w:trPr>
          <w:cantSplit/>
          <w:tblHeader/>
        </w:trPr>
        <w:tc>
          <w:tcPr>
            <w:tcW w:type="dxa" w:w="64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الإجراء</w:t>
            </w:r>
          </w:p>
        </w:tc>
        <w:tc>
          <w:tcPr>
            <w:tcW w:type="dxa" w:w="316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المسؤول</w:t>
            </w:r>
          </w:p>
        </w:tc>
      </w:tr>
      <w:tr>
        <w:trPr>
          <w:cantSplit/>
          <w:tblHeader w:val="false"/>
        </w:trPr>
        <w:tc>
          <w:tcPr>
            <w:tcW w:type="dxa" w:w="64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تعيين مدير المشروع من طرف المالك ومكتبه</w:t>
            </w:r>
          </w:p>
        </w:tc>
        <w:tc>
          <w:tcPr>
            <w:tcW w:type="dxa" w:w="316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شركة المشروع</w:t>
            </w:r>
          </w:p>
        </w:tc>
      </w:tr>
      <w:tr>
        <w:trPr>
          <w:cantSplit/>
          <w:tblHeader w:val="false"/>
        </w:trPr>
        <w:tc>
          <w:tcPr>
            <w:tcW w:type="dxa" w:w="64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البرنامج الزمني الأساسي المفصل من المقاول</w:t>
            </w:r>
          </w:p>
        </w:tc>
        <w:tc>
          <w:tcPr>
            <w:tcW w:type="dxa" w:w="316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</w:t>
            </w:r>
          </w:p>
        </w:tc>
      </w:tr>
      <w:tr>
        <w:trPr>
          <w:cantSplit/>
          <w:tblHeader w:val="false"/>
        </w:trPr>
        <w:tc>
          <w:tcPr>
            <w:tcW w:type="dxa" w:w="64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طلب ملحق المقر والتمديد الإضافي</w:t>
            </w:r>
          </w:p>
        </w:tc>
        <w:tc>
          <w:tcPr>
            <w:tcW w:type="dxa" w:w="316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كوشان</w:t>
            </w:r>
          </w:p>
        </w:tc>
      </w:tr>
      <w:tr>
        <w:trPr>
          <w:cantSplit/>
          <w:tblHeader w:val="false"/>
        </w:trPr>
        <w:tc>
          <w:tcPr>
            <w:tcW w:type="dxa" w:w="64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تعيين مكتب الكميات المستقل</w:t>
            </w:r>
          </w:p>
        </w:tc>
        <w:tc>
          <w:tcPr>
            <w:tcW w:type="dxa" w:w="316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الشركاء</w:t>
            </w:r>
          </w:p>
        </w:tc>
      </w:tr>
      <w:tr>
        <w:trPr>
          <w:cantSplit/>
          <w:tblHeader w:val="false"/>
        </w:trPr>
        <w:tc>
          <w:tcPr>
            <w:tcW w:type="dxa" w:w="64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ورشة الهندسة القيمية</w:t>
            </w:r>
          </w:p>
        </w:tc>
        <w:tc>
          <w:tcPr>
            <w:tcW w:type="dxa" w:w="316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الاستشاري</w:t>
            </w:r>
          </w:p>
        </w:tc>
      </w:tr>
      <w:tr>
        <w:trPr>
          <w:cantSplit/>
          <w:tblHeader w:val="false"/>
        </w:trPr>
        <w:tc>
          <w:tcPr>
            <w:tcW w:type="dxa" w:w="6478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طلب توصيل الكهرباء والتبريد</w:t>
            </w:r>
          </w:p>
        </w:tc>
        <w:tc>
          <w:tcPr>
            <w:tcW w:type="dxa" w:w="3160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 / شركة المشروع</w:t>
            </w:r>
          </w:p>
        </w:tc>
      </w:tr>
    </w:tbl>
    <w:p>
      <w:pPr>
        <w:bidi/>
        <w:spacing w:after="60" w:before="0" w:line="300"/>
        <w:jc w:val="start"/>
      </w:pPr>
    </w:p>
    <w:p>
      <w:pPr>
        <w:pStyle w:val="Heading2"/>
        <w:keepNext/>
        <w:bidi/>
        <w:spacing w:after="100" w:before="220" w:line="300"/>
        <w:jc w:val="start"/>
      </w:pPr>
      <w:r>
        <w:rPr>
          <w:rFonts w:ascii="Arial" w:cs="Arial" w:eastAsia="Arial" w:hAnsi="Arial"/>
          <w:b/>
          <w:bCs/>
          <w:color w:val="3E6E9E"/>
          <w:sz w:val="26"/>
          <w:szCs w:val="26"/>
          <w:rtl/>
        </w:rPr>
        <w:t xml:space="preserve">17.3 خلال 90 يوماً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26"/>
        <w:gridCol w:w="3012"/>
      </w:tblGrid>
      <w:tr>
        <w:trPr>
          <w:cantSplit/>
          <w:tblHeader/>
        </w:trPr>
        <w:tc>
          <w:tcPr>
            <w:tcW w:type="dxa" w:w="66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الإجراء</w:t>
            </w:r>
          </w:p>
        </w:tc>
        <w:tc>
          <w:tcPr>
            <w:tcW w:type="dxa" w:w="30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1F3A5F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المسؤول</w:t>
            </w:r>
          </w:p>
        </w:tc>
      </w:tr>
      <w:tr>
        <w:trPr>
          <w:cantSplit/>
          <w:tblHeader w:val="false"/>
        </w:trPr>
        <w:tc>
          <w:tcPr>
            <w:tcW w:type="dxa" w:w="66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توقيع عقد التنفيذ بسعر أقصى مضمون</w:t>
            </w:r>
          </w:p>
        </w:tc>
        <w:tc>
          <w:tcPr>
            <w:tcW w:type="dxa" w:w="30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شركة المشروع / وطنكو</w:t>
            </w:r>
          </w:p>
        </w:tc>
      </w:tr>
      <w:tr>
        <w:trPr>
          <w:cantSplit/>
          <w:tblHeader w:val="false"/>
        </w:trPr>
        <w:tc>
          <w:tcPr>
            <w:tcW w:type="dxa" w:w="66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اتفاقية المساهمين وتحويل الشركة</w:t>
            </w:r>
          </w:p>
        </w:tc>
        <w:tc>
          <w:tcPr>
            <w:tcW w:type="dxa" w:w="30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الشريكان</w:t>
            </w:r>
          </w:p>
        </w:tc>
      </w:tr>
      <w:tr>
        <w:trPr>
          <w:cantSplit/>
          <w:tblHeader w:val="false"/>
        </w:trPr>
        <w:tc>
          <w:tcPr>
            <w:tcW w:type="dxa" w:w="66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عقد Midwam وعرض IHG</w:t>
            </w:r>
          </w:p>
        </w:tc>
        <w:tc>
          <w:tcPr>
            <w:tcW w:type="dxa" w:w="30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كوشان</w:t>
            </w:r>
          </w:p>
        </w:tc>
      </w:tr>
      <w:tr>
        <w:trPr>
          <w:cantSplit/>
          <w:tblHeader w:val="false"/>
        </w:trPr>
        <w:tc>
          <w:tcPr>
            <w:tcW w:type="dxa" w:w="66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الدراسات المعتمدة (المرور، والبيئة، والسيول)</w:t>
            </w:r>
          </w:p>
        </w:tc>
        <w:tc>
          <w:tcPr>
            <w:tcW w:type="dxa" w:w="30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الاستشاريون</w:t>
            </w:r>
          </w:p>
        </w:tc>
      </w:tr>
      <w:tr>
        <w:trPr>
          <w:cantSplit/>
          <w:tblHeader w:val="false"/>
        </w:trPr>
        <w:tc>
          <w:tcPr>
            <w:tcW w:type="dxa" w:w="66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طلب البنود طويلة التوريد ذات الأولوية</w:t>
            </w:r>
          </w:p>
        </w:tc>
        <w:tc>
          <w:tcPr>
            <w:tcW w:type="dxa" w:w="30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</w:t>
            </w:r>
          </w:p>
        </w:tc>
      </w:tr>
      <w:tr>
        <w:trPr>
          <w:cantSplit/>
          <w:tblHeader w:val="false"/>
        </w:trPr>
        <w:tc>
          <w:tcPr>
            <w:tcW w:type="dxa" w:w="6626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  <w:rtl/>
              </w:rPr>
              <w:t xml:space="preserve">اكتمال الأساسات (هدف أبريل 2027)</w:t>
            </w:r>
          </w:p>
        </w:tc>
        <w:tc>
          <w:tcPr>
            <w:tcW w:type="dxa" w:w="3012"/>
            <w:tcBorders>
              <w:top w:val="single" w:color="C8D6CF" w:sz="4"/>
              <w:left w:val="single" w:color="C8D6CF" w:sz="4"/>
              <w:bottom w:val="single" w:color="C8D6CF" w:sz="4"/>
              <w:right w:val="single" w:color="C8D6CF" w:sz="4"/>
            </w:tcBorders>
            <w:shd w:fill="EEF2F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bidi/>
              <w:spacing w:after="0" w:before="0" w:line="260"/>
              <w:jc w:val="start"/>
            </w:pPr>
            <w:r>
              <w:rPr>
                <w:rFonts w:ascii="Arial" w:cs="Arial" w:eastAsia="Arial" w:hAnsi="Arial"/>
                <w:b w:val="false"/>
                <w:sz w:val="18"/>
                <w:szCs w:val="18"/>
                <w:rtl/>
              </w:rPr>
              <w:t xml:space="preserve">وطنكو</w:t>
            </w:r>
          </w:p>
        </w:tc>
      </w:tr>
    </w:tbl>
    <w:p>
      <w:pPr>
        <w:bidi/>
        <w:spacing w:after="60" w:before="0" w:line="300"/>
        <w:jc w:val="start"/>
      </w:pPr>
    </w:p>
    <w:sectPr>
      <w:headerReference w:type="default" r:id="rId7"/>
      <w:footerReference w:type="default" r:id="rId8"/>
      <w:pgSz w:w="11906" w:h="16838" w:orient="portrait"/>
      <w:pgMar w:top="1300" w:right="1134" w:bottom="1100" w:left="1134" w:header="5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  <w:jc w:val="center"/>
    </w:pPr>
    <w:r>
      <w:rPr>
        <w:rFonts w:ascii="Arial" w:cs="Arial" w:eastAsia="Arial" w:hAnsi="Arial"/>
        <w:color w:val="5A6470"/>
        <w:sz w:val="15"/>
        <w:szCs w:val="15"/>
        <w:rtl/>
      </w:rPr>
      <w:t xml:space="preserve">خطة التنفيذ – مشروع ميادين بارك · سري · </w:t>
    </w:r>
    <w:r>
      <w:rPr>
        <w:rFonts w:ascii="Arial" w:cs="Arial" w:eastAsia="Arial" w:hAnsi="Arial"/>
        <w:color w:val="5A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D2DC" w:sz="6" w:space="4"/>
      </w:pBdr>
      <w:bidi/>
      <w:jc w:val="start"/>
    </w:pPr>
    <w:r>
      <w:rPr>
        <w:rFonts w:ascii="Arial" w:cs="Arial" w:eastAsia="Arial" w:hAnsi="Arial"/>
        <w:color w:val="5A6470"/>
        <w:sz w:val="16"/>
        <w:szCs w:val="16"/>
        <w:rtl/>
      </w:rPr>
      <w:t xml:space="preserve">مشروع ميادين بارك  ·  خطة التنفيذ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outlineLvl w:val="0"/>
    </w:pPr>
    <w:rPr>
      <w:rFonts w:ascii="Arial" w:cs="Arial" w:eastAsia="Arial" w:hAnsi="Arial"/>
      <w:b/>
      <w:bCs/>
      <w:color w:val="1F3A5F"/>
      <w:sz w:val="34"/>
      <w:szCs w:val="34"/>
    </w:rPr>
  </w:style>
  <w:style w:type="paragraph" w:styleId="Heading2">
    <w:name w:val="Heading 2"/>
    <w:basedOn w:val="Normal"/>
    <w:next w:val="Normal"/>
    <w:pPr>
      <w:outlineLvl w:val="1"/>
    </w:pPr>
    <w:rPr>
      <w:rFonts w:ascii="Arial" w:cs="Arial" w:eastAsia="Arial" w:hAnsi="Arial"/>
      <w:b/>
      <w:bCs/>
      <w:color w:val="3E6E9E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24a2c4328d5817081aa167472daa4c79ff4ea41e.jpg"/><Relationship Id="rId10" Type="http://schemas.openxmlformats.org/officeDocument/2006/relationships/image" Target="media/68f586ae4cf85a66cbe3ec3334d1cc9a4d213e99.png"/><Relationship Id="rId11" Type="http://schemas.openxmlformats.org/officeDocument/2006/relationships/image" Target="media/1ff9595fd83c4a1db23f5ca140e3e6e26ab02fa4.png"/><Relationship Id="rId12" Type="http://schemas.openxmlformats.org/officeDocument/2006/relationships/image" Target="media/3b8b1a08f5e17f54e2758c767e45c0b33c861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2026-10-18T08:24:40.798Z</dcterms:created>
  <dcterms:modified xsi:type="dcterms:W3CDTF">2026-10-18T08:24:40.798Z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